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幸福99添益（年年红）1年定开型2521期理财（TYG12M2521）</w:t>
      </w:r>
    </w:p>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业绩比较基准及开放期公告</w:t>
      </w:r>
    </w:p>
    <w:p>
      <w:pPr>
        <w:widowControl/>
        <w:tabs>
          <w:tab w:val="left" w:pos="2930"/>
        </w:tabs>
        <w:jc w:val="left"/>
        <w:rPr>
          <w:rFonts w:ascii="宋体" w:hAnsi="宋体" w:cs="宋体"/>
          <w:color w:val="333333"/>
          <w:kern w:val="0"/>
          <w:sz w:val="24"/>
        </w:rPr>
      </w:pPr>
    </w:p>
    <w:p>
      <w:pPr>
        <w:widowControl/>
        <w:tabs>
          <w:tab w:val="left" w:pos="2930"/>
        </w:tabs>
        <w:jc w:val="left"/>
        <w:rPr>
          <w:rFonts w:ascii="宋体" w:hAnsi="宋体" w:cs="宋体"/>
          <w:color w:val="333333"/>
          <w:kern w:val="0"/>
          <w:sz w:val="24"/>
        </w:rPr>
      </w:pPr>
      <w:r>
        <w:rPr>
          <w:rFonts w:hint="eastAsia" w:ascii="宋体" w:hAnsi="宋体" w:cs="宋体"/>
          <w:color w:val="333333"/>
          <w:kern w:val="0"/>
          <w:sz w:val="24"/>
        </w:rPr>
        <w:t>尊敬的投资者：</w:t>
      </w:r>
    </w:p>
    <w:p>
      <w:pPr>
        <w:widowControl/>
        <w:tabs>
          <w:tab w:val="left" w:pos="2930"/>
        </w:tabs>
        <w:spacing w:before="100" w:beforeAutospacing="1" w:after="100" w:afterAutospacing="1"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根据市场情况及产品投资的资产组合收益变动情况，幸福99添益（年年红）1年定开型2521期理财（产品编号：TYG12M2521）下一运行周期（2026-07-01至2027-07-20）的业绩比较基准如下：</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业绩比较基准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TYG12M2521A</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2.35%-2.55%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TYG12M2521B</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H</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2.35%-2.55%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TYG12M2521L</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ZA</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2.35%-2.55%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ZB</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ZC</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55</w:t>
            </w:r>
            <w:r>
              <w:rPr>
                <w:rFonts w:hint="eastAsia" w:ascii="宋体" w:hAnsi="宋体" w:cs="宋体"/>
                <w:color w:val="333333"/>
                <w:kern w:val="0"/>
                <w:sz w:val="24"/>
              </w:rPr>
              <w:t>%-2.</w:t>
            </w:r>
            <w:r>
              <w:rPr>
                <w:rFonts w:hint="eastAsia" w:ascii="宋体" w:hAnsi="宋体" w:cs="宋体"/>
                <w:color w:val="333333"/>
                <w:kern w:val="0"/>
                <w:sz w:val="24"/>
                <w:lang w:val="en-US" w:eastAsia="zh-CN"/>
              </w:rPr>
              <w:t>75</w:t>
            </w:r>
            <w:r>
              <w:rPr>
                <w:rFonts w:hint="eastAsia" w:ascii="宋体" w:hAnsi="宋体" w:cs="宋体"/>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ZD</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50</w:t>
            </w:r>
            <w:r>
              <w:rPr>
                <w:rFonts w:hint="eastAsia" w:ascii="宋体" w:hAnsi="宋体" w:cs="宋体"/>
                <w:color w:val="333333"/>
                <w:kern w:val="0"/>
                <w:sz w:val="24"/>
              </w:rPr>
              <w:t>%-2.</w:t>
            </w:r>
            <w:r>
              <w:rPr>
                <w:rFonts w:hint="eastAsia" w:ascii="宋体" w:hAnsi="宋体" w:cs="宋体"/>
                <w:color w:val="333333"/>
                <w:kern w:val="0"/>
                <w:sz w:val="24"/>
                <w:lang w:val="en-US" w:eastAsia="zh-CN"/>
              </w:rPr>
              <w:t>70</w:t>
            </w:r>
            <w:r>
              <w:rPr>
                <w:rFonts w:hint="eastAsia" w:ascii="宋体" w:hAnsi="宋体" w:cs="宋体"/>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ZG</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60</w:t>
            </w:r>
            <w:r>
              <w:rPr>
                <w:rFonts w:hint="eastAsia" w:ascii="宋体" w:hAnsi="宋体" w:cs="宋体"/>
                <w:color w:val="333333"/>
                <w:kern w:val="0"/>
                <w:sz w:val="24"/>
              </w:rPr>
              <w:t>%-2.</w:t>
            </w:r>
            <w:r>
              <w:rPr>
                <w:rFonts w:hint="eastAsia" w:ascii="宋体" w:hAnsi="宋体" w:cs="宋体"/>
                <w:color w:val="333333"/>
                <w:kern w:val="0"/>
                <w:sz w:val="24"/>
                <w:lang w:val="en-US" w:eastAsia="zh-CN"/>
              </w:rPr>
              <w:t>80</w:t>
            </w:r>
            <w:r>
              <w:rPr>
                <w:rFonts w:hint="eastAsia" w:ascii="宋体" w:hAnsi="宋体" w:cs="宋体"/>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ZH</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65</w:t>
            </w:r>
            <w:r>
              <w:rPr>
                <w:rFonts w:hint="eastAsia" w:ascii="宋体" w:hAnsi="宋体" w:cs="宋体"/>
                <w:color w:val="333333"/>
                <w:kern w:val="0"/>
                <w:sz w:val="24"/>
              </w:rPr>
              <w:t>%-2.</w:t>
            </w:r>
            <w:r>
              <w:rPr>
                <w:rFonts w:hint="eastAsia" w:ascii="宋体" w:hAnsi="宋体" w:cs="宋体"/>
                <w:color w:val="333333"/>
                <w:kern w:val="0"/>
                <w:sz w:val="24"/>
                <w:lang w:val="en-US" w:eastAsia="zh-CN"/>
              </w:rPr>
              <w:t>85</w:t>
            </w:r>
            <w:r>
              <w:rPr>
                <w:rFonts w:hint="eastAsia" w:ascii="宋体" w:hAnsi="宋体" w:cs="宋体"/>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lang w:eastAsia="zh-CN"/>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ZX</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50</w:t>
            </w:r>
            <w:r>
              <w:rPr>
                <w:rFonts w:hint="eastAsia" w:ascii="宋体" w:hAnsi="宋体" w:cs="宋体"/>
                <w:color w:val="333333"/>
                <w:kern w:val="0"/>
                <w:sz w:val="24"/>
              </w:rPr>
              <w:t>%-2.</w:t>
            </w:r>
            <w:r>
              <w:rPr>
                <w:rFonts w:hint="eastAsia" w:ascii="宋体" w:hAnsi="宋体" w:cs="宋体"/>
                <w:color w:val="333333"/>
                <w:kern w:val="0"/>
                <w:sz w:val="24"/>
                <w:lang w:val="en-US" w:eastAsia="zh-CN"/>
              </w:rPr>
              <w:t>70</w:t>
            </w:r>
            <w:r>
              <w:rPr>
                <w:rFonts w:hint="eastAsia" w:ascii="宋体" w:hAnsi="宋体" w:cs="宋体"/>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lang w:eastAsia="zh-CN"/>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ZY</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eastAsiaTheme="minorEastAsia"/>
                <w:color w:val="333333"/>
                <w:kern w:val="0"/>
                <w:sz w:val="24"/>
                <w:lang w:eastAsia="zh-CN"/>
              </w:rPr>
            </w:pPr>
            <w:r>
              <w:rPr>
                <w:rFonts w:hint="eastAsia" w:ascii="宋体" w:hAnsi="宋体" w:cs="宋体"/>
                <w:color w:val="333333"/>
                <w:kern w:val="0"/>
                <w:sz w:val="24"/>
              </w:rPr>
              <w:t>2.</w:t>
            </w:r>
            <w:r>
              <w:rPr>
                <w:rFonts w:hint="eastAsia" w:ascii="宋体" w:hAnsi="宋体" w:cs="宋体"/>
                <w:color w:val="333333"/>
                <w:kern w:val="0"/>
                <w:sz w:val="24"/>
                <w:lang w:val="en-US" w:eastAsia="zh-CN"/>
              </w:rPr>
              <w:t>55</w:t>
            </w:r>
            <w:r>
              <w:rPr>
                <w:rFonts w:hint="eastAsia" w:ascii="宋体" w:hAnsi="宋体" w:cs="宋体"/>
                <w:color w:val="333333"/>
                <w:kern w:val="0"/>
                <w:sz w:val="24"/>
              </w:rPr>
              <w:t>%-2.</w:t>
            </w:r>
            <w:r>
              <w:rPr>
                <w:rFonts w:hint="eastAsia" w:ascii="宋体" w:hAnsi="宋体" w:cs="宋体"/>
                <w:color w:val="333333"/>
                <w:kern w:val="0"/>
                <w:sz w:val="24"/>
                <w:lang w:val="en-US" w:eastAsia="zh-CN"/>
              </w:rPr>
              <w:t>75</w:t>
            </w:r>
            <w:r>
              <w:rPr>
                <w:rFonts w:hint="eastAsia" w:ascii="宋体" w:hAnsi="宋体" w:cs="宋体"/>
                <w:color w:val="333333"/>
                <w:kern w:val="0"/>
                <w:sz w:val="24"/>
              </w:rPr>
              <w:t>%</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幸福99添益（年年红）1年定开型2521期理财（产品编号：TYG12M2521）本周期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2026-07-01</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TYG12M2521B</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2026-07-01</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TYG12M2521L</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2026-07-01</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ZA</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ZB</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ZC</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ZD</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ZG</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lang w:eastAsia="zh-CN"/>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ZX</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lang w:eastAsia="zh-CN"/>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ZY</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2026-06-24 9:00至 </w:t>
            </w:r>
            <w:r>
              <w:rPr>
                <w:rFonts w:ascii="宋体" w:hAnsi="宋体" w:eastAsia="宋体" w:cs="宋体"/>
                <w:color w:val="333333"/>
                <w:sz w:val="24"/>
              </w:rPr>
              <w:t>2026-06-30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2026-07-01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幸福99添益（年年红）1年定开型2521期理财（产品编号：TYG12M2521）下周期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2027-07-21</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TYG12M2521B</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2027-07-21</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TYG12M2521L</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2027-07-21</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ZA</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ZB</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ZC</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rPr>
              <w:t>ZD</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ZG</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ZX</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lang w:eastAsia="zh-CN"/>
              </w:rPr>
              <w:t>TYG12M2521</w:t>
            </w:r>
            <w:r>
              <w:rPr>
                <w:rFonts w:hint="eastAsia" w:ascii="宋体" w:hAnsi="宋体" w:cs="宋体"/>
                <w:color w:val="333333"/>
                <w:kern w:val="0"/>
                <w:sz w:val="24"/>
                <w:lang w:val="en-US" w:eastAsia="zh-CN"/>
              </w:rPr>
              <w:t>ZY</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2027-07-14 9:00至 </w:t>
            </w:r>
            <w:r>
              <w:rPr>
                <w:rFonts w:ascii="宋体" w:hAnsi="宋体" w:eastAsia="宋体" w:cs="宋体"/>
                <w:color w:val="333333"/>
                <w:sz w:val="24"/>
              </w:rPr>
              <w:t>2027-07-20</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2027-07-21</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Cs w:val="21"/>
        </w:rPr>
      </w:pPr>
      <w:r>
        <w:rPr>
          <w:rFonts w:hint="eastAsia" w:ascii="宋体" w:hAnsi="宋体" w:cs="宋体"/>
          <w:b w:val="0"/>
          <w:bCs w:val="0"/>
          <w:color w:val="333333"/>
          <w:kern w:val="0"/>
          <w:sz w:val="24"/>
          <w:lang w:val="en-US" w:eastAsia="zh-CN"/>
        </w:rPr>
        <w:t>固定管理费原则上按日计提，若本理财计划份额每个周期结束日的折合年化收益率不达当期该份额业绩比较基准下限，则管理人以当期全部固定管理费为上限，减免全部或部分固定管理费用。如您不接受本次公告上述调整，请于生效日前及时赎回所持有的全部产品份额，逾期未赎回或仅部分赎回的，则视作您接受公告所示调整。后续若有调整，请以最新公告为准。</w:t>
      </w:r>
    </w:p>
    <w:p>
      <w:pPr>
        <w:widowControl/>
        <w:spacing w:line="360" w:lineRule="auto"/>
        <w:jc w:val="left"/>
        <w:rPr>
          <w:rFonts w:ascii="宋体" w:hAnsi="宋体" w:cs="宋体"/>
          <w:kern w:val="0"/>
          <w:szCs w:val="21"/>
        </w:rPr>
      </w:pPr>
      <w:bookmarkStart w:id="0" w:name="_GoBack"/>
      <w:bookmarkEnd w:id="0"/>
    </w:p>
    <w:p>
      <w:pPr>
        <w:widowControl/>
        <w:spacing w:line="360" w:lineRule="auto"/>
        <w:jc w:val="left"/>
        <w:rPr>
          <w:rFonts w:ascii="宋体" w:hAnsi="宋体" w:cs="宋体"/>
          <w:kern w:val="0"/>
          <w:szCs w:val="21"/>
        </w:rPr>
      </w:pPr>
      <w:r>
        <w:rPr>
          <w:rFonts w:hint="eastAsia" w:ascii="宋体" w:hAnsi="宋体" w:cs="宋体"/>
          <w:kern w:val="0"/>
          <w:szCs w:val="21"/>
        </w:rPr>
        <w:t>注：</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如法定节假日调整，管理人将对公告中的日期做出相应调整，以管理人最新公告为准。</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开放时间具体安排以销售机构规定为准。</w:t>
      </w:r>
    </w:p>
    <w:p>
      <w:pPr>
        <w:widowControl/>
        <w:jc w:val="right"/>
        <w:rPr>
          <w:rFonts w:ascii="微软雅黑" w:hAnsi="微软雅黑" w:cs="宋体"/>
          <w:color w:val="333333"/>
          <w:kern w:val="0"/>
          <w:sz w:val="24"/>
        </w:rPr>
      </w:pPr>
      <w:r>
        <w:rPr>
          <w:rFonts w:hint="eastAsia" w:ascii="微软雅黑" w:hAnsi="微软雅黑" w:cs="宋体"/>
          <w:color w:val="333333"/>
          <w:kern w:val="0"/>
          <w:sz w:val="24"/>
        </w:rPr>
        <w:t>                         杭银理财有限责任公司</w:t>
      </w:r>
    </w:p>
    <w:p>
      <w:pPr>
        <w:widowControl/>
        <w:jc w:val="right"/>
      </w:pPr>
      <w:r>
        <w:rPr>
          <w:rFonts w:hint="eastAsia" w:ascii="宋体" w:hAnsi="宋体" w:cs="宋体"/>
          <w:color w:val="333333"/>
          <w:kern w:val="0"/>
          <w:sz w:val="24"/>
        </w:rPr>
        <w:t>                         </w:t>
      </w:r>
      <w:r>
        <w:rPr>
          <w:rFonts w:ascii="宋体" w:hAnsi="宋体" w:eastAsia="宋体" w:cs="宋体"/>
          <w:color w:val="333333"/>
          <w:sz w:val="24"/>
        </w:rPr>
        <w:t>2026年6月12日</w:t>
      </w:r>
    </w:p>
    <w:p>
      <w:pPr>
        <w:widowControl/>
        <w:jc w:val="right"/>
      </w:pPr>
    </w:p>
    <w:sectPr>
      <w:headerReference r:id="rId3" w:type="default"/>
      <w:pgSz w:w="11906" w:h="16838"/>
      <w:pgMar w:top="2551" w:right="1803" w:bottom="2551"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3C63B"/>
    <w:multiLevelType w:val="singleLevel"/>
    <w:tmpl w:val="4903C6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w:rsids>
    <w:rsidRoot w:val="6687052B"/>
    <w:rsid w:val="00040F12"/>
    <w:rsid w:val="0007073F"/>
    <w:rsid w:val="00076F95"/>
    <w:rsid w:val="000B5C80"/>
    <w:rsid w:val="00123A32"/>
    <w:rsid w:val="00182547"/>
    <w:rsid w:val="001E34DE"/>
    <w:rsid w:val="00216866"/>
    <w:rsid w:val="00251162"/>
    <w:rsid w:val="00261F9F"/>
    <w:rsid w:val="002979BD"/>
    <w:rsid w:val="003321DA"/>
    <w:rsid w:val="00366909"/>
    <w:rsid w:val="00374B44"/>
    <w:rsid w:val="00386722"/>
    <w:rsid w:val="003B478B"/>
    <w:rsid w:val="003B5EA1"/>
    <w:rsid w:val="00573F61"/>
    <w:rsid w:val="00632F14"/>
    <w:rsid w:val="006A11F6"/>
    <w:rsid w:val="006F1E86"/>
    <w:rsid w:val="00792C6B"/>
    <w:rsid w:val="00800AAF"/>
    <w:rsid w:val="008E2414"/>
    <w:rsid w:val="00941ACB"/>
    <w:rsid w:val="00970427"/>
    <w:rsid w:val="009C52F4"/>
    <w:rsid w:val="00A4089E"/>
    <w:rsid w:val="00B00500"/>
    <w:rsid w:val="00B0716D"/>
    <w:rsid w:val="00BB6E73"/>
    <w:rsid w:val="00C822CD"/>
    <w:rsid w:val="00D00D6A"/>
    <w:rsid w:val="00D01161"/>
    <w:rsid w:val="00DB32F4"/>
    <w:rsid w:val="00DD583F"/>
    <w:rsid w:val="00F25FAF"/>
    <w:rsid w:val="00F43942"/>
    <w:rsid w:val="01632288"/>
    <w:rsid w:val="023B73FD"/>
    <w:rsid w:val="035E6A6E"/>
    <w:rsid w:val="04EF499C"/>
    <w:rsid w:val="06090E49"/>
    <w:rsid w:val="086F3434"/>
    <w:rsid w:val="09D5040F"/>
    <w:rsid w:val="0AA12391"/>
    <w:rsid w:val="0C760411"/>
    <w:rsid w:val="0FAD1E3A"/>
    <w:rsid w:val="0FE05E22"/>
    <w:rsid w:val="0FFB2C2E"/>
    <w:rsid w:val="14064585"/>
    <w:rsid w:val="144D2883"/>
    <w:rsid w:val="161D7C87"/>
    <w:rsid w:val="169966B8"/>
    <w:rsid w:val="1774510A"/>
    <w:rsid w:val="192E28D5"/>
    <w:rsid w:val="1B395CAB"/>
    <w:rsid w:val="1DE30B4B"/>
    <w:rsid w:val="1E9A3ACF"/>
    <w:rsid w:val="1EF87BD2"/>
    <w:rsid w:val="1FB466A7"/>
    <w:rsid w:val="1FCB4E7D"/>
    <w:rsid w:val="212E6400"/>
    <w:rsid w:val="216138F2"/>
    <w:rsid w:val="21F964F5"/>
    <w:rsid w:val="22291B40"/>
    <w:rsid w:val="22680F97"/>
    <w:rsid w:val="227F642E"/>
    <w:rsid w:val="23E23118"/>
    <w:rsid w:val="252937ED"/>
    <w:rsid w:val="26CE5261"/>
    <w:rsid w:val="26F22D0A"/>
    <w:rsid w:val="28362D7D"/>
    <w:rsid w:val="29A34A1D"/>
    <w:rsid w:val="2B2B5DF9"/>
    <w:rsid w:val="2B991B88"/>
    <w:rsid w:val="2EDF0E96"/>
    <w:rsid w:val="2F1871F2"/>
    <w:rsid w:val="2F294853"/>
    <w:rsid w:val="2FC14D08"/>
    <w:rsid w:val="30E359F4"/>
    <w:rsid w:val="32C46370"/>
    <w:rsid w:val="35286DA6"/>
    <w:rsid w:val="38921940"/>
    <w:rsid w:val="3D4A7245"/>
    <w:rsid w:val="3E692474"/>
    <w:rsid w:val="3E834198"/>
    <w:rsid w:val="3F4D0D7F"/>
    <w:rsid w:val="41F371BC"/>
    <w:rsid w:val="4273183E"/>
    <w:rsid w:val="446E5366"/>
    <w:rsid w:val="456D2AD8"/>
    <w:rsid w:val="467D220C"/>
    <w:rsid w:val="468E71F3"/>
    <w:rsid w:val="472C02DC"/>
    <w:rsid w:val="474C7805"/>
    <w:rsid w:val="4A4D08B6"/>
    <w:rsid w:val="4BB54F8B"/>
    <w:rsid w:val="4FFF3606"/>
    <w:rsid w:val="50270C90"/>
    <w:rsid w:val="50356190"/>
    <w:rsid w:val="50A20A38"/>
    <w:rsid w:val="51475EBB"/>
    <w:rsid w:val="54D44304"/>
    <w:rsid w:val="55072DFB"/>
    <w:rsid w:val="55167E68"/>
    <w:rsid w:val="557F18F4"/>
    <w:rsid w:val="55E447C3"/>
    <w:rsid w:val="57251378"/>
    <w:rsid w:val="57D7577C"/>
    <w:rsid w:val="57F43A1C"/>
    <w:rsid w:val="5B2F104F"/>
    <w:rsid w:val="5BFE1262"/>
    <w:rsid w:val="5E085CFB"/>
    <w:rsid w:val="5EC66559"/>
    <w:rsid w:val="60C55E6C"/>
    <w:rsid w:val="62576867"/>
    <w:rsid w:val="636D2DE7"/>
    <w:rsid w:val="6404319E"/>
    <w:rsid w:val="64381403"/>
    <w:rsid w:val="65D24C58"/>
    <w:rsid w:val="6687052B"/>
    <w:rsid w:val="67EC6F4F"/>
    <w:rsid w:val="680375CC"/>
    <w:rsid w:val="68F17FDC"/>
    <w:rsid w:val="6A8B3349"/>
    <w:rsid w:val="6A9B6989"/>
    <w:rsid w:val="6DD2217A"/>
    <w:rsid w:val="6E683E61"/>
    <w:rsid w:val="6FAE51B6"/>
    <w:rsid w:val="701E6454"/>
    <w:rsid w:val="7107423D"/>
    <w:rsid w:val="74790878"/>
    <w:rsid w:val="76654E07"/>
    <w:rsid w:val="76E67429"/>
    <w:rsid w:val="78FB4CF4"/>
    <w:rsid w:val="79E32EAD"/>
    <w:rsid w:val="7B4A3932"/>
    <w:rsid w:val="7C90559F"/>
    <w:rsid w:val="7D875343"/>
    <w:rsid w:val="7EF7C949"/>
    <w:rsid w:val="E54F38A2"/>
    <w:rsid w:val="FFAFB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宋体"/>
      <w:b/>
      <w:kern w:val="44"/>
      <w:sz w:val="24"/>
    </w:rPr>
  </w:style>
  <w:style w:type="paragraph" w:styleId="3">
    <w:name w:val="heading 2"/>
    <w:basedOn w:val="1"/>
    <w:next w:val="1"/>
    <w:unhideWhenUsed/>
    <w:qFormat/>
    <w:uiPriority w:val="0"/>
    <w:pPr>
      <w:keepNext/>
      <w:keepLines/>
      <w:spacing w:line="400" w:lineRule="exact"/>
      <w:jc w:val="left"/>
      <w:outlineLvl w:val="1"/>
    </w:pPr>
    <w:rPr>
      <w:rFonts w:ascii="Arial" w:hAnsi="Arial" w:eastAsia="宋体"/>
      <w:b/>
    </w:rPr>
  </w:style>
  <w:style w:type="paragraph" w:styleId="4">
    <w:name w:val="heading 3"/>
    <w:basedOn w:val="1"/>
    <w:next w:val="1"/>
    <w:unhideWhenUsed/>
    <w:qFormat/>
    <w:uiPriority w:val="0"/>
    <w:pPr>
      <w:keepNext/>
      <w:keepLines/>
      <w:spacing w:line="400" w:lineRule="exact"/>
      <w:jc w:val="left"/>
      <w:outlineLvl w:val="2"/>
    </w:pPr>
    <w:rPr>
      <w:rFonts w:ascii="Times New Roman" w:hAnsi="Times New Roman" w:eastAsia="宋体"/>
      <w:b/>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481</Words>
  <Characters>520</Characters>
  <Lines>4</Lines>
  <Paragraphs>1</Paragraphs>
  <TotalTime>2</TotalTime>
  <ScaleCrop>false</ScaleCrop>
  <LinksUpToDate>false</LinksUpToDate>
  <CharactersWithSpaces>1000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2022-08-17T22:47:00Z</dcterms:created>
  <dc:creator>Administrator</dc:creator>
  <cp:lastModifiedBy>孙逸菲</cp:lastModifiedBy>
  <dcterms:modified xsi:type="dcterms:W3CDTF">2026-06-12T06:55:40Z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