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837" w:lineRule="atLeast"/>
        <w:jc w:val="center"/>
        <w:outlineLvl w:val="1"/>
        <w:rPr>
          <w:rFonts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</w:pPr>
      <w:r>
        <w:rPr>
          <w:rFonts w:hint="eastAsia"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  <w:t>杭银理财幸福99年添益2007期理财（TYG13M2007）</w:t>
      </w:r>
    </w:p>
    <w:p>
      <w:pPr>
        <w:widowControl/>
        <w:shd w:val="clear" w:color="auto" w:fill="FFFFFF"/>
        <w:spacing w:line="837" w:lineRule="atLeast"/>
        <w:jc w:val="center"/>
        <w:outlineLvl w:val="1"/>
        <w:rPr>
          <w:rFonts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</w:pPr>
      <w:r>
        <w:rPr>
          <w:rFonts w:hint="eastAsia"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  <w:t>业绩比较基准及开放期公告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根据市场情况及产品投资的资产组合收益变动情况，杭银理财幸福99年添益2007期理财（产品编号：TYG13M2007）下一运行周期（2026-04-08至2027-04-13）的业绩比较基准如下：</w:t>
      </w:r>
    </w:p>
    <w:tbl>
      <w:tblPr>
        <w:tblStyle w:val="8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5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583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业绩比较基准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</w:t>
            </w:r>
          </w:p>
        </w:tc>
        <w:tc>
          <w:tcPr>
            <w:tcW w:w="583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TYG13M2007B</w:t>
            </w:r>
          </w:p>
        </w:tc>
        <w:tc>
          <w:tcPr>
            <w:tcW w:w="583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TYG13M2007D</w:t>
            </w:r>
          </w:p>
        </w:tc>
        <w:tc>
          <w:tcPr>
            <w:tcW w:w="583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中国人民银行公布的1年期定期存款利率+0.4%</w:t>
            </w:r>
          </w:p>
        </w:tc>
      </w:tr>
    </w:tbl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2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杭银理财幸福99年添益2007期理财（产品编号：TYG13M2007）本周期</w:t>
      </w:r>
      <w:r>
        <w:rPr>
          <w:rFonts w:hint="eastAsia" w:ascii="宋体" w:hAnsi="宋体" w:cs="宋体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交易类型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2026-03-25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2026-04-07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2026-04-08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TYG13M2007B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2026-03-25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2026-04-07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2026-04-08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TYG13M2007D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2026-03-25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2026-04-07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2026-04-08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</w:tbl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2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杭银理财幸福99年添益2007期理财（产品编号：TYG13M2007）下周期</w:t>
      </w:r>
      <w:r>
        <w:rPr>
          <w:rFonts w:hint="eastAsia" w:ascii="宋体" w:hAnsi="宋体" w:cs="宋体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交易类型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2027-03-31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2027-04-13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2027-04-14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TYG13M2007B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2027-03-31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2027-04-13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2027-04-14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TYG13M2007D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2027-03-31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2027-04-13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2027-04-14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</w:tbl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同时，本产品于本次开放确认日起调整浮动管理费，具体如下</w:t>
      </w:r>
      <w:r>
        <w:rPr>
          <w:rFonts w:ascii="宋体" w:hAnsi="宋体" w:eastAsia="宋体" w:cs="宋体"/>
          <w:color w:val="333333"/>
          <w:sz w:val="24"/>
        </w:rPr>
        <w:t>：</w:t>
      </w:r>
    </w:p>
    <w:tbl>
      <w:tblPr>
        <w:tblStyle w:val="8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484"/>
        <w:gridCol w:w="2422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825" w:type="dxa"/>
            <w:vAlign w:val="center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</w:rPr>
              <w:t>销售代码</w:t>
            </w:r>
          </w:p>
        </w:tc>
        <w:tc>
          <w:tcPr>
            <w:tcW w:w="2484" w:type="dxa"/>
            <w:vAlign w:val="center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调整前</w:t>
            </w:r>
          </w:p>
        </w:tc>
        <w:tc>
          <w:tcPr>
            <w:tcW w:w="2422" w:type="dxa"/>
            <w:vAlign w:val="center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调整后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生效时间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825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</w:t>
            </w:r>
          </w:p>
        </w:tc>
        <w:tc>
          <w:tcPr>
            <w:tcW w:w="2484" w:type="dxa"/>
            <w:vAlign w:val="center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管理人根据理财计划投资情况计算浮动管理费，本理财计划份额投资周期的折合年化收益率超过业绩比较基准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中枢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的部分,管理人提取〖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%〗作为浮动管理费。</w:t>
            </w:r>
          </w:p>
        </w:tc>
        <w:tc>
          <w:tcPr>
            <w:tcW w:w="2422" w:type="dxa"/>
            <w:vAlign w:val="center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管理人根据理财计划投资情况计算浮动管理费，本理财计划份额投资周期的〖折合年化收益率超过3.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%〗的部分,管理人提取〖40%〗作为浮动管理费</w:t>
            </w:r>
          </w:p>
        </w:tc>
        <w:tc>
          <w:tcPr>
            <w:tcW w:w="1785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825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TYG13M2007B</w:t>
            </w:r>
          </w:p>
        </w:tc>
        <w:tc>
          <w:tcPr>
            <w:tcW w:w="2484" w:type="dxa"/>
            <w:vAlign w:val="center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管理人根据理财计划投资情况计算浮动管理费，本理财计划份额投资周期的折合年化收益率超过业绩比较基准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中枢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的部分,管理人提取〖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%〗作为浮动管理费。</w:t>
            </w:r>
          </w:p>
        </w:tc>
        <w:tc>
          <w:tcPr>
            <w:tcW w:w="2422" w:type="dxa"/>
            <w:vAlign w:val="center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管理人根据理财计划投资情况计算浮动管理费，本理财计划份额投资周期的〖折合年化收益率超过3.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%〗的部分,管理人提取〖40%〗作为浮动管理费</w:t>
            </w:r>
          </w:p>
        </w:tc>
        <w:tc>
          <w:tcPr>
            <w:tcW w:w="1785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825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TYG13M2007D</w:t>
            </w:r>
          </w:p>
        </w:tc>
        <w:tc>
          <w:tcPr>
            <w:tcW w:w="2484" w:type="dxa"/>
            <w:vAlign w:val="center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管理人根据理财计划投资情况计算浮动管理费，本理财计划份额投资周期的折合年化收益率超过业绩比较基准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中枢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的部分,管理人提取〖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%〗作为浮动管理费。</w:t>
            </w:r>
          </w:p>
        </w:tc>
        <w:tc>
          <w:tcPr>
            <w:tcW w:w="2422" w:type="dxa"/>
            <w:vAlign w:val="center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管理人根据理财计划投资情况计算浮动管理费，本理财计划份额投资周期的〖折合年化收益率超过3.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%〗的部分,管理人提取〖40%〗作为浮动管理费</w:t>
            </w:r>
          </w:p>
        </w:tc>
        <w:tc>
          <w:tcPr>
            <w:tcW w:w="1785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2026-04-08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如法定节假日调整，管理人将对公告中的日期做出相应调整，以管理人最新公告为准。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开放时间具体安排以销售机构规定为准。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2026年3月16日</w:t>
      </w:r>
    </w:p>
    <w:p>
      <w:pPr>
        <w:widowControl/>
        <w:jc w:val="right"/>
      </w:pP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C63B"/>
    <w:multiLevelType w:val="singleLevel"/>
    <w:tmpl w:val="4903C6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1676E5E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8F5637"/>
    <w:rsid w:val="7EF7C949"/>
    <w:rsid w:val="E54F38A2"/>
    <w:rsid w:val="FFAFB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520</Characters>
  <Lines>4</Lines>
  <Paragraphs>1</Paragraphs>
  <TotalTime>3</TotalTime>
  <ScaleCrop>false</ScaleCrop>
  <LinksUpToDate>false</LinksUpToDate>
  <CharactersWithSpaces>1000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孙逸菲</cp:lastModifiedBy>
  <dcterms:modified xsi:type="dcterms:W3CDTF">2026-03-16T03:15:28Z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