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杭银理财幸福99年添益2218期理财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jc w:val="both"/>
        <w:rPr>
          <w:rFonts w:hint="eastAsia" w:ascii="宋体" w:hAnsi="宋体" w:cs="宋体"/>
          <w:b/>
          <w:color w:val="000000"/>
          <w:sz w:val="24"/>
          <w:highlight w:val="none"/>
        </w:rPr>
      </w:pPr>
      <w:r>
        <w:rPr>
          <w:rFonts w:hint="eastAsia" w:ascii="宋体" w:hAnsi="宋体" w:eastAsia="宋体" w:cs="宋体"/>
          <w:b/>
          <w:bCs/>
          <w:color w:val="000000"/>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jc w:val="both"/>
        <w:rPr>
          <w:rFonts w:hint="eastAsia" w:ascii="宋体" w:hAnsi="宋体" w:cs="宋体"/>
          <w:b/>
          <w:sz w:val="24"/>
          <w:highlight w:val="none"/>
        </w:rPr>
      </w:pPr>
      <w:r>
        <w:rPr>
          <w:rFonts w:hint="eastAsia" w:ascii="宋体" w:hAnsi="宋体" w:eastAsia="宋体" w:cs="宋体"/>
          <w:b/>
          <w:bCs/>
          <w:color w:val="000000"/>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杭银理财幸福99年添益2218期理财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Z7002222000124</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r>
        <w:rPr>
          <w:rFonts w:hint="eastAsia" w:ascii="宋体" w:hAnsi="宋体" w:cs="宋体"/>
          <w:bCs/>
          <w:color w:val="000000"/>
          <w:kern w:val="2"/>
          <w:highlight w:val="none"/>
          <w:lang w:eastAsia="zh"/>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杭银理财幸福99年添益2218期理财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杭银理财幸福99年添益2218期理财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杭银理财幸福99年添益2218期理财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杭银理财幸福99年添益2218期理财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杭银理财幸福99年添益2218期理财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杭银理财幸福99年添益2218期理财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杭银理财幸福99年添益2218期理财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年添益2218期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TYG13M2218</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Z7002222000124</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A份额（销售代码〖TYG13M2218A〗）：普通个人投资者和机构客户。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B份额（销售代码〖TYG13M2218B〗）：特邀客群。</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D份额（销售代码〖TYG13M2218D〗）：部分代销机构。</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E份额（销售代码〖TYG13M2218E〗）：部分代销机构。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2022</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22</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2023</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2023</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〖D份额〗起点〖1〗元整，超过认购/申购起点部分，应为〖1〗元的整数倍。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〖E份额〗起点〖1〗元整，超过认购/申购起点部分，应为〖1〗元的整数倍。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每年</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sz w:val="21"/>
                <w:szCs w:val="21"/>
                <w:highlight w:val="none"/>
                <w:lang w:val="en-US" w:eastAsia="zh-CN"/>
              </w:rPr>
              <w:t>首个开放期为</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2024</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至</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2024</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首个开放确认日为</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2024</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kern w:val="2"/>
                <w:sz w:val="21"/>
                <w:szCs w:val="21"/>
                <w:highlight w:val="none"/>
                <w:lang w:val="en-US" w:eastAsia="zh"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〖D份额〗单户持有上限为〖1〗亿元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〖E份额〗单户持有上限为〖1〗亿元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本理财计划业绩比较基准为〖中国人民银行公布的1年期定期存款利率+0.4%〗（年化）。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color w:val="000000"/>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 w:bidi="ar-SA"/>
              </w:rPr>
              <w:t>3</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〖D份额〗收取年化〖0%〗的销售服务费, 〖E份额〗收取年化〖0.05%〗的销售服务费。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〖D份额〗收取年化〖0.4%〗的固定管理费, 〖E份额〗收取年化〖0.25%〗的固定管理费。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color w:val="000000"/>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A份额〗投资周期的折合年化收益率超过〖3.1%〗的部分，管理人提取〖40%〗作为浮动管理费；〖B份额〗投资周期的折合年化收益率超过〖3.2%〗的部分，管理人提取〖40%〗作为浮动管理费；〖D份额〗投资周期的折合年化收益率超过〖3.3%〗的部分，管理人提取〖40%〗作为浮动管理费；〖E份额〗投资周期的折合年化收益率超过〖3.4%〗的部分，管理人提取〖40%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权益类资产：包括国内发行上市优先股、上市公司股票、定向增发、员工持股计划以及其他符合监管要求的权益类资产（不包括未上市企业股权）。</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3. 其他符合监管要求资产：符合监管要求的其他类资产。</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其他符合监管要求资产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000000"/>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000000"/>
          <w:kern w:val="2"/>
          <w:sz w:val="21"/>
          <w:szCs w:val="21"/>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7514"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6"/>
        <w:gridCol w:w="1785"/>
        <w:gridCol w:w="1365"/>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销售机构信息</w:t>
            </w: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杭州银行股份有限公司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兴业银行股份有限公司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江苏银行股份有限公司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宁波鄞州农村商业银行股份有限公司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吉林亿联银行股份有限公司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重庆富民银行股份有限公司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中信百信银行股份有限公司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石嘴山银行股份有限公司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厦门银行股份有限公司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富邦华一银行有限公司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杭银理财有限责任公司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九江银行股份有限公司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齐鲁银行股份有限公司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浙商银行股份有限公司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澳门国际银行股份有限公司广州分行</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厦门国际银行股份有限公司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江苏苏商银行股份有限公司</w:t>
            </w: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江苏省南京市建邺区庐山路248号4号楼7、8、9、27、28、29层，4号楼裙楼第1、2层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日照银行股份有限公司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山东省日照市烟台路197号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noWrap/>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南洋商业银行（中国）有限公司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广东南粤银行股份有限公司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广东省湛江经济技术开发区乐山路27号财富汇金融中心1层01、02号商铺、2层01号商铺、3层01号商铺、39-45层办公室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中邮邮惠万家银行有限责任公司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秦皇岛银行股份有限公司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浙江衢州衢江农村商业银行股份有限公司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江苏常熟农村商业银行股份有限公司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浙江武义农村商业银行股份有限公司</w:t>
            </w: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住所</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36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客服热线</w:t>
            </w:r>
          </w:p>
        </w:tc>
        <w:tc>
          <w:tcPr>
            <w:tcW w:w="354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rPr>
            </w:pPr>
            <w:r>
              <w:rPr>
                <w:rFonts w:hint="default"/>
              </w:rPr>
              <w:t>浙江龙游农村商业银行股份有限公司</w:t>
            </w:r>
          </w:p>
        </w:tc>
        <w:tc>
          <w:tcPr>
            <w:tcW w:w="1365" w:type="dxa"/>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
              </w:rPr>
            </w:pPr>
            <w:r>
              <w:rPr>
                <w:rFonts w:hint="default"/>
              </w:rPr>
              <w:t>住所</w:t>
            </w:r>
          </w:p>
        </w:tc>
        <w:tc>
          <w:tcPr>
            <w:tcW w:w="3548"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rPr>
              <w:t>浙江省衢州市龙游县龙洲街道荣昌大道683、685、687号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rPr>
            </w:pPr>
          </w:p>
        </w:tc>
        <w:tc>
          <w:tcPr>
            <w:tcW w:w="1365" w:type="dxa"/>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
              </w:rPr>
            </w:pPr>
            <w:r>
              <w:rPr>
                <w:rFonts w:hint="default"/>
              </w:rPr>
              <w:t>客服热线</w:t>
            </w:r>
          </w:p>
        </w:tc>
        <w:tc>
          <w:tcPr>
            <w:tcW w:w="3548"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rPr>
            </w:pPr>
            <w:r>
              <w:rPr>
                <w:rFonts w:hint="default"/>
              </w:rPr>
              <w:t>威海蓝海银行股份有限公司</w:t>
            </w:r>
          </w:p>
        </w:tc>
        <w:tc>
          <w:tcPr>
            <w:tcW w:w="1365" w:type="dxa"/>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
              </w:rPr>
            </w:pPr>
            <w:r>
              <w:rPr>
                <w:rFonts w:hint="default"/>
              </w:rPr>
              <w:t>住所</w:t>
            </w:r>
          </w:p>
        </w:tc>
        <w:tc>
          <w:tcPr>
            <w:tcW w:w="3548"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rPr>
              <w:t>山东省威海市环翠区新威路17-2号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rPr>
            </w:pPr>
          </w:p>
        </w:tc>
        <w:tc>
          <w:tcPr>
            <w:tcW w:w="1365" w:type="dxa"/>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
              </w:rPr>
            </w:pPr>
            <w:r>
              <w:rPr>
                <w:rFonts w:hint="default"/>
              </w:rPr>
              <w:t>客服热线</w:t>
            </w:r>
          </w:p>
        </w:tc>
        <w:tc>
          <w:tcPr>
            <w:tcW w:w="3548"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rPr>
              <w:t>0631-5356901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rPr>
            </w:pPr>
            <w:r>
              <w:rPr>
                <w:rFonts w:hint="default"/>
              </w:rPr>
              <w:t>宁波奉化农村商业银行股份有限公司</w:t>
            </w:r>
          </w:p>
        </w:tc>
        <w:tc>
          <w:tcPr>
            <w:tcW w:w="1365" w:type="dxa"/>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
              </w:rPr>
            </w:pPr>
            <w:r>
              <w:rPr>
                <w:rFonts w:hint="default"/>
              </w:rPr>
              <w:t>住所</w:t>
            </w:r>
          </w:p>
        </w:tc>
        <w:tc>
          <w:tcPr>
            <w:tcW w:w="3548"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rPr>
              <w:t>宁波市奉化区锦屏街道中山路27号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6" w:type="dxa"/>
            <w:vMerge w:val="continue"/>
            <w:shd w:val="clear" w:color="auto" w:fill="auto"/>
            <w:vAlign w:val="center"/>
          </w:tcPr>
          <w:p>
            <w:pPr>
              <w:keepNext w:val="0"/>
              <w:keepLines w:val="0"/>
              <w:suppressLineNumbers w:val="0"/>
              <w:spacing w:before="0" w:beforeAutospacing="0" w:after="0" w:afterAutospacing="0"/>
              <w:ind w:left="0" w:right="0"/>
              <w:rPr>
                <w:rFonts w:hint="default"/>
              </w:rPr>
            </w:pPr>
          </w:p>
        </w:tc>
        <w:tc>
          <w:tcPr>
            <w:tcW w:w="1785" w:type="dxa"/>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rPr>
            </w:pPr>
          </w:p>
        </w:tc>
        <w:tc>
          <w:tcPr>
            <w:tcW w:w="1365" w:type="dxa"/>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
              </w:rPr>
            </w:pPr>
            <w:r>
              <w:rPr>
                <w:rFonts w:hint="default"/>
              </w:rPr>
              <w:t>客服热线</w:t>
            </w:r>
          </w:p>
        </w:tc>
        <w:tc>
          <w:tcPr>
            <w:tcW w:w="3548"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816"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销售机构职责</w:t>
            </w:r>
          </w:p>
        </w:tc>
        <w:tc>
          <w:tcPr>
            <w:tcW w:w="6698" w:type="dxa"/>
            <w:gridSpan w:val="3"/>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eastAsia="宋体" w:cs="宋体"/>
          <w:bCs/>
          <w:color w:val="000000"/>
          <w:kern w:val="2"/>
          <w:sz w:val="24"/>
          <w:szCs w:val="24"/>
          <w:highlight w:val="none"/>
          <w:lang w:val="en-US" w:eastAsia="zh-CN" w:bidi="ar-SA"/>
        </w:rPr>
        <w:t>A份额的年化销售服务费率为〖0.30%〗, B份额的年化销售服务费率为〖0.20%〗, D份额的年化销售服务费率为〖0%〗, E份额的年化销售服务费率为〖0.05%〗, 以〖A份额〗</w:t>
      </w:r>
      <w:r>
        <w:rPr>
          <w:rFonts w:hint="eastAsia" w:ascii="宋体" w:hAnsi="宋体" w:cs="宋体"/>
          <w:bCs/>
          <w:color w:val="000000"/>
          <w:sz w:val="24"/>
          <w:szCs w:val="24"/>
          <w:highlight w:val="none"/>
        </w:rPr>
        <w:t>为例，计算方法如下：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w:t>
      </w:r>
      <w:r>
        <w:rPr>
          <w:rFonts w:hint="eastAsia" w:ascii="宋体" w:hAnsi="宋体" w:cs="宋体"/>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kern w:val="2"/>
          <w:sz w:val="24"/>
          <w:szCs w:val="24"/>
          <w:highlight w:val="none"/>
          <w:lang w:val="en-US" w:eastAsia="zh" w:bidi="ar-SA"/>
        </w:rPr>
        <w:t>份额</w:t>
      </w:r>
      <w:r>
        <w:rPr>
          <w:rFonts w:hint="eastAsia" w:ascii="宋体" w:hAnsi="宋体" w:eastAsia="宋体" w:cs="宋体"/>
          <w:color w:val="000000"/>
          <w:sz w:val="24"/>
          <w:szCs w:val="24"/>
          <w:highlight w:val="none"/>
        </w:rPr>
        <w:t>〗</w:t>
      </w:r>
      <w:r>
        <w:rPr>
          <w:rFonts w:hint="eastAsia" w:ascii="宋体" w:hAnsi="宋体" w:cs="宋体"/>
          <w:bCs/>
          <w:color w:val="000000"/>
          <w:sz w:val="24"/>
          <w:szCs w:val="24"/>
          <w:highlight w:val="none"/>
        </w:rPr>
        <w:t>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w:t>
      </w:r>
      <w:r>
        <w:rPr>
          <w:rFonts w:hint="eastAsia" w:ascii="宋体" w:hAnsi="宋体" w:cs="宋体"/>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kern w:val="2"/>
          <w:sz w:val="24"/>
          <w:szCs w:val="24"/>
          <w:highlight w:val="none"/>
          <w:lang w:val="en-US" w:eastAsia="zh" w:bidi="ar-SA"/>
        </w:rPr>
        <w:t>份额</w:t>
      </w:r>
      <w:r>
        <w:rPr>
          <w:rFonts w:hint="eastAsia" w:ascii="宋体" w:hAnsi="宋体" w:eastAsia="宋体" w:cs="宋体"/>
          <w:color w:val="000000"/>
          <w:sz w:val="24"/>
          <w:szCs w:val="24"/>
          <w:highlight w:val="none"/>
        </w:rPr>
        <w:t>〗</w:t>
      </w:r>
      <w:r>
        <w:rPr>
          <w:rFonts w:hint="eastAsia" w:ascii="宋体" w:hAnsi="宋体" w:cs="宋体"/>
          <w:bCs/>
          <w:color w:val="000000"/>
          <w:sz w:val="24"/>
          <w:szCs w:val="24"/>
          <w:highlight w:val="none"/>
        </w:rPr>
        <w:t>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r>
        <w:rPr>
          <w:rFonts w:hint="eastAsia" w:ascii="宋体" w:hAnsi="宋体" w:cs="宋体"/>
          <w:bCs/>
          <w:color w:val="000000"/>
          <w:sz w:val="24"/>
          <w:highlight w:val="none"/>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1"/>
          <w:highlight w:val="none"/>
          <w:lang w:val="en-US" w:eastAsia="zh-CN" w:bidi="ar-SA"/>
        </w:rPr>
        <w:t>0.025</w:t>
      </w:r>
      <w:r>
        <w:rPr>
          <w:rFonts w:hint="eastAsia" w:ascii="宋体" w:hAnsi="宋体" w:cs="宋体"/>
          <w:bCs/>
          <w:color w:val="000000"/>
          <w:sz w:val="24"/>
          <w:highlight w:val="none"/>
        </w:rPr>
        <w:t>%</w:t>
      </w:r>
      <w:r>
        <w:rPr>
          <w:rFonts w:hint="eastAsia" w:ascii="宋体" w:hAnsi="宋体" w:cs="宋体"/>
          <w:color w:val="000000"/>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A份额的年化固定管理费率为〖0.30%〗, B份额的年化固定管理费率为〖0.30%〗, D份额的年化固定管理费率为〖0.4%〗, E份额的年化固定管理费率为〖0.25%〗, 以〖A份额〗</w:t>
      </w:r>
      <w:r>
        <w:rPr>
          <w:rFonts w:hint="eastAsia" w:ascii="宋体" w:hAnsi="宋体" w:eastAsia="宋体" w:cs="宋体"/>
          <w:bCs/>
          <w:color w:val="000000"/>
          <w:sz w:val="24"/>
          <w:szCs w:val="24"/>
          <w:highlight w:val="none"/>
        </w:rPr>
        <w:t>为例，计算方法如下：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w:t>
      </w:r>
      <w:r>
        <w:rPr>
          <w:rFonts w:hint="eastAsia" w:ascii="宋体" w:hAnsi="宋体" w:cs="宋体"/>
          <w:bCs/>
          <w:color w:val="000000"/>
          <w:sz w:val="24"/>
          <w:szCs w:val="24"/>
          <w:highlight w:val="none"/>
          <w:lang w:eastAsia="zh"/>
        </w:rPr>
        <w:t>为</w:t>
      </w:r>
      <w:r>
        <w:rPr>
          <w:rFonts w:hint="eastAsia" w:ascii="宋体" w:hAnsi="宋体" w:cs="宋体"/>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kern w:val="2"/>
          <w:sz w:val="24"/>
          <w:szCs w:val="24"/>
          <w:highlight w:val="none"/>
          <w:lang w:val="en-US" w:eastAsia="zh" w:bidi="ar-SA"/>
        </w:rPr>
        <w:t>份额</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w:t>
      </w:r>
      <w:r>
        <w:rPr>
          <w:rFonts w:hint="eastAsia" w:ascii="宋体" w:hAnsi="宋体" w:cs="宋体"/>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kern w:val="2"/>
          <w:sz w:val="24"/>
          <w:szCs w:val="24"/>
          <w:highlight w:val="none"/>
          <w:lang w:val="en-US" w:eastAsia="zh" w:bidi="ar-SA"/>
        </w:rPr>
        <w:t>份额</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，管理人有权</w:t>
      </w:r>
      <w:r>
        <w:rPr>
          <w:rFonts w:hint="eastAsia" w:ascii="宋体" w:hAnsi="宋体" w:eastAsia="宋体" w:cs="宋体"/>
          <w:bCs/>
          <w:color w:val="000000"/>
          <w:sz w:val="24"/>
          <w:szCs w:val="24"/>
          <w:highlight w:val="none"/>
          <w:lang w:val="en-US" w:eastAsia="zh-CN"/>
        </w:rPr>
        <w:t>根据实际运作情况</w:t>
      </w:r>
      <w:r>
        <w:rPr>
          <w:rFonts w:hint="eastAsia" w:ascii="宋体" w:hAnsi="宋体" w:eastAsia="宋体" w:cs="宋体"/>
          <w:bCs/>
          <w:color w:val="000000"/>
          <w:sz w:val="24"/>
          <w:szCs w:val="24"/>
          <w:highlight w:val="none"/>
          <w:lang w:eastAsia="zh-CN"/>
        </w:rPr>
        <w:t>减免固定管理费</w:t>
      </w:r>
      <w:r>
        <w:rPr>
          <w:rFonts w:hint="eastAsia" w:ascii="宋体" w:hAnsi="宋体" w:eastAsia="宋体" w:cs="宋体"/>
          <w:bCs/>
          <w:color w:val="FF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w:t>
      </w:r>
      <w:r>
        <w:rPr>
          <w:rFonts w:hint="eastAsia" w:ascii="宋体" w:hAnsi="宋体" w:cs="宋体"/>
          <w:bCs/>
          <w:color w:val="000000"/>
          <w:sz w:val="24"/>
          <w:szCs w:val="24"/>
          <w:highlight w:val="none"/>
          <w:lang w:eastAsia="zh"/>
        </w:rPr>
        <w:t>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
        </w:rPr>
        <w:t>为例，</w:t>
      </w:r>
      <w:r>
        <w:rPr>
          <w:rFonts w:hint="eastAsia" w:ascii="宋体" w:hAnsi="宋体" w:cs="宋体"/>
          <w:bCs/>
          <w:color w:val="000000"/>
          <w:sz w:val="24"/>
          <w:szCs w:val="24"/>
          <w:highlight w:val="none"/>
        </w:rPr>
        <w:t>本理财计划投资周期的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折合年化收益率超过</w:t>
      </w:r>
      <w:r>
        <w:rPr>
          <w:rFonts w:hint="eastAsia" w:ascii="宋体" w:hAnsi="宋体" w:eastAsia="宋体" w:cs="宋体"/>
          <w:bCs/>
          <w:color w:val="000000"/>
          <w:kern w:val="2"/>
          <w:sz w:val="24"/>
          <w:szCs w:val="24"/>
          <w:highlight w:val="none"/>
          <w:lang w:val="en-US" w:eastAsia="zh-CN" w:bidi="ar-SA"/>
        </w:rPr>
        <w:t>3.1</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40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3.1</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40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numPr>
          <w:ilvl w:val="0"/>
          <w:numId w:val="45"/>
        </w:num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示例</w:t>
      </w:r>
      <w:r>
        <w:rPr>
          <w:rFonts w:hint="eastAsia" w:ascii="宋体" w:hAnsi="宋体" w:cs="宋体"/>
          <w:b/>
          <w:color w:val="000000"/>
          <w:sz w:val="24"/>
          <w:highlight w:val="none"/>
          <w:lang w:eastAsia="zh-CN"/>
        </w:rPr>
        <w:t>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（如有）后，投资收益率超过</w:t>
      </w:r>
      <w:r>
        <w:rPr>
          <w:rFonts w:hint="eastAsia" w:ascii="宋体" w:hAnsi="宋体" w:cs="宋体"/>
          <w:b/>
          <w:color w:val="000000"/>
          <w:sz w:val="24"/>
          <w:highlight w:val="none"/>
          <w:lang w:val="en-US" w:eastAsia="zh-CN"/>
        </w:rPr>
        <w:t>浮动管理费计提基数</w:t>
      </w:r>
      <w:r>
        <w:rPr>
          <w:rFonts w:hint="eastAsia" w:ascii="宋体" w:hAnsi="宋体" w:cs="宋体"/>
          <w:b/>
          <w:color w:val="000000"/>
          <w:sz w:val="24"/>
          <w:highlight w:val="none"/>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投资理财计划362天后，赎回份额100,000.00份。假设管理人提取超过5.00%的40%作为浮动管理费，即浮动管理费计提基数为5.00%。赎回时扣除托管费、固定管理费、销售服务费（如有）后，如理财计划未扣除浮动管理费前的净值为1.0615，此时，(1.0615÷1.0000-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100,000.00×1.0000×[(1.0615÷1.0000-1)×365÷362-5.00%]×40%×362÷365=476.44（元）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扣除浮动管理费后，产品单位净值大于1，故产品进行现金分红，分红金额为5,673.56元，分红后产品的单位净值为1.0000。</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投资者最终收益为：100,000.00×（1.0000-1.0000）+ 5,673.56=5,673.56（元），理财计划赎回时，投资者获得的实际收益相当于达到年化收益率水平为：5,673.56÷100,000.00×365÷362=5.72%。</w:t>
      </w:r>
    </w:p>
    <w:p>
      <w:pPr>
        <w:numPr>
          <w:ilvl w:val="0"/>
          <w:numId w:val="45"/>
        </w:num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示例二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（如有）后，投资收益率未达到</w:t>
      </w:r>
      <w:r>
        <w:rPr>
          <w:rFonts w:hint="eastAsia" w:ascii="宋体" w:hAnsi="宋体" w:cs="宋体"/>
          <w:b/>
          <w:color w:val="000000"/>
          <w:sz w:val="24"/>
          <w:highlight w:val="none"/>
          <w:lang w:val="en-US" w:eastAsia="zh-CN"/>
        </w:rPr>
        <w:t>浮动管理费计提基数</w:t>
      </w:r>
      <w:r>
        <w:rPr>
          <w:rFonts w:hint="eastAsia" w:ascii="宋体" w:hAnsi="宋体" w:cs="宋体"/>
          <w:b/>
          <w:color w:val="000000"/>
          <w:sz w:val="24"/>
          <w:highlight w:val="none"/>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投资理财计划362天后，赎回份额100,000.00份。假设管理人提取超过5.00%的40%作为浮动管理费，即浮动管理费计提基数为5.00%。赎回时扣除托管费、固定管理费、销售服务费（如有）后，如理财计划单位净值为1.0426，此时，(1.0426÷1.0000-1)×365÷362=4.30%&lt;5.00%，即投资收益未达到5.00%，则投资管理人不收取浮动管理费。产品单位净值大于1，故产品进行现金分红，分红金额为4,260.00元，分红后产品的单位净值为1.0000。</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投资者最终收益为：100,000.00×(1.0000-1.0000）+4,260.00=4,260.00（元）。</w:t>
      </w:r>
    </w:p>
    <w:p>
      <w:pPr>
        <w:numPr>
          <w:ilvl w:val="0"/>
          <w:numId w:val="45"/>
        </w:num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示例三</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投资理财计划362天后，赎回份额100,000.00份。假设管理人提取超过5.00%的40%作为浮动管理费，即浮动管理费计提基数为5.00%。赎回时扣除托管费、固定管理费、销售服务费（如有）后，如理财计划单位净值为0.9975，则投资管理人不收取浮动管理费，投资者最终收益为：100,000.00×（0.9975-1.0000）=-250.00（元）。</w:t>
      </w:r>
    </w:p>
    <w:p>
      <w:pPr>
        <w:numPr>
          <w:ilvl w:val="0"/>
          <w:numId w:val="44"/>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FF0000"/>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color w:val="FF0000"/>
          <w:szCs w:val="21"/>
          <w:highlight w:val="none"/>
        </w:rPr>
        <w:t>X</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default"/>
          <w:sz w:val="24"/>
          <w:highlight w:val="none"/>
          <w:lang w:val="en-US" w:eastAsia="zh-CN"/>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B08226EF"/>
    <w:multiLevelType w:val="singleLevel"/>
    <w:tmpl w:val="B08226EF"/>
    <w:lvl w:ilvl="0" w:tentative="0">
      <w:start w:val="1"/>
      <w:numFmt w:val="chineseCounting"/>
      <w:suff w:val="space"/>
      <w:lvlText w:val="第%1条"/>
      <w:lvlJc w:val="left"/>
      <w:rPr>
        <w:rFonts w:hint="eastAsia"/>
      </w:rPr>
    </w:lvl>
  </w:abstractNum>
  <w:abstractNum w:abstractNumId="16">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7">
    <w:nsid w:val="E70DF796"/>
    <w:multiLevelType w:val="singleLevel"/>
    <w:tmpl w:val="E70DF796"/>
    <w:lvl w:ilvl="0" w:tentative="0">
      <w:start w:val="1"/>
      <w:numFmt w:val="decimal"/>
      <w:suff w:val="nothing"/>
      <w:lvlText w:val="（%1）"/>
      <w:lvlJc w:val="left"/>
    </w:lvl>
  </w:abstractNum>
  <w:abstractNum w:abstractNumId="28">
    <w:nsid w:val="EFF37F09"/>
    <w:multiLevelType w:val="singleLevel"/>
    <w:tmpl w:val="EFF37F09"/>
    <w:lvl w:ilvl="0" w:tentative="0">
      <w:start w:val="1"/>
      <w:numFmt w:val="decimal"/>
      <w:suff w:val="nothing"/>
      <w:lvlText w:val="（%1）"/>
      <w:lvlJc w:val="left"/>
      <w:rPr>
        <w:rFonts w:hint="default"/>
        <w:b w:val="0"/>
        <w:bCs w:val="0"/>
      </w:rPr>
    </w:lvl>
  </w:abstractNum>
  <w:abstractNum w:abstractNumId="29">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0">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1">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2">
    <w:nsid w:val="F574F5B6"/>
    <w:multiLevelType w:val="singleLevel"/>
    <w:tmpl w:val="F574F5B6"/>
    <w:lvl w:ilvl="0" w:tentative="0">
      <w:start w:val="1"/>
      <w:numFmt w:val="decimal"/>
      <w:suff w:val="nothing"/>
      <w:lvlText w:val="（%1）"/>
      <w:lvlJc w:val="left"/>
    </w:lvl>
  </w:abstractNum>
  <w:abstractNum w:abstractNumId="33">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4">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0">
    <w:nsid w:val="167B0BB4"/>
    <w:multiLevelType w:val="singleLevel"/>
    <w:tmpl w:val="167B0BB4"/>
    <w:lvl w:ilvl="0" w:tentative="0">
      <w:start w:val="1"/>
      <w:numFmt w:val="decimal"/>
      <w:suff w:val="nothing"/>
      <w:lvlText w:val="（%1）"/>
      <w:lvlJc w:val="left"/>
    </w:lvl>
  </w:abstractNum>
  <w:abstractNum w:abstractNumId="4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2">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3">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4">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5">
    <w:nsid w:val="2CB63BE6"/>
    <w:multiLevelType w:val="singleLevel"/>
    <w:tmpl w:val="2CB63BE6"/>
    <w:lvl w:ilvl="0" w:tentative="0">
      <w:start w:val="1"/>
      <w:numFmt w:val="decimal"/>
      <w:suff w:val="nothing"/>
      <w:lvlText w:val="（%1）"/>
      <w:lvlJc w:val="left"/>
      <w:rPr>
        <w:rFonts w:hint="default"/>
        <w:b w:val="0"/>
        <w:bCs w:val="0"/>
      </w:rPr>
    </w:lvl>
  </w:abstractNum>
  <w:abstractNum w:abstractNumId="46">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7">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8">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9">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0">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1">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2">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3">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4">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5">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6">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7">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8">
    <w:nsid w:val="5BA91325"/>
    <w:multiLevelType w:val="singleLevel"/>
    <w:tmpl w:val="5BA91325"/>
    <w:lvl w:ilvl="0" w:tentative="0">
      <w:start w:val="1"/>
      <w:numFmt w:val="decimal"/>
      <w:suff w:val="nothing"/>
      <w:lvlText w:val="（%1）"/>
      <w:lvlJc w:val="left"/>
    </w:lvl>
  </w:abstractNum>
  <w:abstractNum w:abstractNumId="59">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0">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1">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2">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3">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4">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5">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6">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7">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8">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9">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0">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1">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2">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3">
    <w:nsid w:val="61F30F62"/>
    <w:multiLevelType w:val="singleLevel"/>
    <w:tmpl w:val="61F30F62"/>
    <w:lvl w:ilvl="0" w:tentative="0">
      <w:start w:val="1"/>
      <w:numFmt w:val="decimal"/>
      <w:suff w:val="nothing"/>
      <w:lvlText w:val="（%1）"/>
      <w:lvlJc w:val="left"/>
      <w:rPr>
        <w:rFonts w:hint="default"/>
        <w:b w:val="0"/>
        <w:bCs w:val="0"/>
      </w:rPr>
    </w:lvl>
  </w:abstractNum>
  <w:abstractNum w:abstractNumId="74">
    <w:nsid w:val="69C07A9C"/>
    <w:multiLevelType w:val="singleLevel"/>
    <w:tmpl w:val="69C07A9C"/>
    <w:lvl w:ilvl="0" w:tentative="0">
      <w:start w:val="1"/>
      <w:numFmt w:val="lowerLetter"/>
      <w:suff w:val="space"/>
      <w:lvlText w:val="%1."/>
      <w:lvlJc w:val="left"/>
    </w:lvl>
  </w:abstractNum>
  <w:abstractNum w:abstractNumId="75">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0"/>
  </w:num>
  <w:num w:numId="4">
    <w:abstractNumId w:val="42"/>
  </w:num>
  <w:num w:numId="5">
    <w:abstractNumId w:val="20"/>
  </w:num>
  <w:num w:numId="6">
    <w:abstractNumId w:val="76"/>
  </w:num>
  <w:num w:numId="7">
    <w:abstractNumId w:val="37"/>
  </w:num>
  <w:num w:numId="8">
    <w:abstractNumId w:val="77"/>
  </w:num>
  <w:num w:numId="9">
    <w:abstractNumId w:val="56"/>
  </w:num>
  <w:num w:numId="10">
    <w:abstractNumId w:val="52"/>
  </w:num>
  <w:num w:numId="11">
    <w:abstractNumId w:val="33"/>
  </w:num>
  <w:num w:numId="12">
    <w:abstractNumId w:val="30"/>
  </w:num>
  <w:num w:numId="13">
    <w:abstractNumId w:val="38"/>
  </w:num>
  <w:num w:numId="14">
    <w:abstractNumId w:val="29"/>
  </w:num>
  <w:num w:numId="15">
    <w:abstractNumId w:val="21"/>
  </w:num>
  <w:num w:numId="16">
    <w:abstractNumId w:val="11"/>
  </w:num>
  <w:num w:numId="17">
    <w:abstractNumId w:val="17"/>
  </w:num>
  <w:num w:numId="18">
    <w:abstractNumId w:val="8"/>
  </w:num>
  <w:num w:numId="19">
    <w:abstractNumId w:val="9"/>
  </w:num>
  <w:num w:numId="20">
    <w:abstractNumId w:val="7"/>
  </w:num>
  <w:num w:numId="21">
    <w:abstractNumId w:val="34"/>
  </w:num>
  <w:num w:numId="22">
    <w:abstractNumId w:val="51"/>
  </w:num>
  <w:num w:numId="23">
    <w:abstractNumId w:val="32"/>
  </w:num>
  <w:num w:numId="24">
    <w:abstractNumId w:val="53"/>
  </w:num>
  <w:num w:numId="25">
    <w:abstractNumId w:val="58"/>
  </w:num>
  <w:num w:numId="26">
    <w:abstractNumId w:val="74"/>
  </w:num>
  <w:num w:numId="27">
    <w:abstractNumId w:val="44"/>
  </w:num>
  <w:num w:numId="28">
    <w:abstractNumId w:val="19"/>
  </w:num>
  <w:num w:numId="29">
    <w:abstractNumId w:val="43"/>
  </w:num>
  <w:num w:numId="30">
    <w:abstractNumId w:val="23"/>
  </w:num>
  <w:num w:numId="31">
    <w:abstractNumId w:val="6"/>
  </w:num>
  <w:num w:numId="32">
    <w:abstractNumId w:val="55"/>
  </w:num>
  <w:num w:numId="33">
    <w:abstractNumId w:val="5"/>
  </w:num>
  <w:num w:numId="34">
    <w:abstractNumId w:val="36"/>
  </w:num>
  <w:num w:numId="35">
    <w:abstractNumId w:val="41"/>
  </w:num>
  <w:num w:numId="36">
    <w:abstractNumId w:val="75"/>
  </w:num>
  <w:num w:numId="37">
    <w:abstractNumId w:val="35"/>
  </w:num>
  <w:num w:numId="38">
    <w:abstractNumId w:val="22"/>
  </w:num>
  <w:num w:numId="39">
    <w:abstractNumId w:val="46"/>
  </w:num>
  <w:num w:numId="40">
    <w:abstractNumId w:val="0"/>
  </w:num>
  <w:num w:numId="41">
    <w:abstractNumId w:val="25"/>
  </w:num>
  <w:num w:numId="42">
    <w:abstractNumId w:val="49"/>
  </w:num>
  <w:num w:numId="43">
    <w:abstractNumId w:val="3"/>
  </w:num>
  <w:num w:numId="44">
    <w:abstractNumId w:val="26"/>
  </w:num>
  <w:num w:numId="45">
    <w:abstractNumId w:val="16"/>
  </w:num>
  <w:num w:numId="46">
    <w:abstractNumId w:val="54"/>
  </w:num>
  <w:num w:numId="47">
    <w:abstractNumId w:val="39"/>
  </w:num>
  <w:num w:numId="48">
    <w:abstractNumId w:val="18"/>
  </w:num>
  <w:num w:numId="49">
    <w:abstractNumId w:val="31"/>
  </w:num>
  <w:num w:numId="50">
    <w:abstractNumId w:val="27"/>
  </w:num>
  <w:num w:numId="51">
    <w:abstractNumId w:val="28"/>
  </w:num>
  <w:num w:numId="52">
    <w:abstractNumId w:val="73"/>
  </w:num>
  <w:num w:numId="53">
    <w:abstractNumId w:val="45"/>
  </w:num>
  <w:num w:numId="54">
    <w:abstractNumId w:val="2"/>
  </w:num>
  <w:num w:numId="55">
    <w:abstractNumId w:val="57"/>
  </w:num>
  <w:num w:numId="56">
    <w:abstractNumId w:val="12"/>
  </w:num>
  <w:num w:numId="57">
    <w:abstractNumId w:val="10"/>
  </w:num>
  <w:num w:numId="58">
    <w:abstractNumId w:val="13"/>
  </w:num>
  <w:num w:numId="59">
    <w:abstractNumId w:val="40"/>
  </w:num>
  <w:num w:numId="60">
    <w:abstractNumId w:val="24"/>
  </w:num>
  <w:num w:numId="61">
    <w:abstractNumId w:val="4"/>
  </w:num>
  <w:num w:numId="62">
    <w:abstractNumId w:val="48"/>
  </w:num>
  <w:num w:numId="63">
    <w:abstractNumId w:val="66"/>
  </w:num>
  <w:num w:numId="64">
    <w:abstractNumId w:val="65"/>
  </w:num>
  <w:num w:numId="65">
    <w:abstractNumId w:val="67"/>
  </w:num>
  <w:num w:numId="66">
    <w:abstractNumId w:val="68"/>
  </w:num>
  <w:num w:numId="67">
    <w:abstractNumId w:val="69"/>
  </w:num>
  <w:num w:numId="68">
    <w:abstractNumId w:val="70"/>
  </w:num>
  <w:num w:numId="69">
    <w:abstractNumId w:val="71"/>
  </w:num>
  <w:num w:numId="70">
    <w:abstractNumId w:val="72"/>
  </w:num>
  <w:num w:numId="71">
    <w:abstractNumId w:val="47"/>
  </w:num>
  <w:num w:numId="72">
    <w:abstractNumId w:val="15"/>
  </w:num>
  <w:num w:numId="73">
    <w:abstractNumId w:val="59"/>
  </w:num>
  <w:num w:numId="74">
    <w:abstractNumId w:val="60"/>
  </w:num>
  <w:num w:numId="75">
    <w:abstractNumId w:val="61"/>
  </w:num>
  <w:num w:numId="76">
    <w:abstractNumId w:val="62"/>
  </w:num>
  <w:num w:numId="77">
    <w:abstractNumId w:val="63"/>
  </w:num>
  <w:num w:numId="7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77E70C"/>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AFD2178"/>
    <w:rsid w:val="3B1C12F3"/>
    <w:rsid w:val="3BD53B5C"/>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FF95C2"/>
    <w:rsid w:val="4E08799D"/>
    <w:rsid w:val="4E2B414A"/>
    <w:rsid w:val="4F5679CC"/>
    <w:rsid w:val="501840BA"/>
    <w:rsid w:val="52B042C0"/>
    <w:rsid w:val="53827B5D"/>
    <w:rsid w:val="53E86B53"/>
    <w:rsid w:val="53FD0396"/>
    <w:rsid w:val="54D66C67"/>
    <w:rsid w:val="568633C7"/>
    <w:rsid w:val="57061882"/>
    <w:rsid w:val="57280BF2"/>
    <w:rsid w:val="57E7B6BA"/>
    <w:rsid w:val="582C3B01"/>
    <w:rsid w:val="582D059F"/>
    <w:rsid w:val="582D396D"/>
    <w:rsid w:val="59083CAE"/>
    <w:rsid w:val="592570E8"/>
    <w:rsid w:val="59435FE6"/>
    <w:rsid w:val="59480030"/>
    <w:rsid w:val="59A3360E"/>
    <w:rsid w:val="59E832FB"/>
    <w:rsid w:val="5ADE2855"/>
    <w:rsid w:val="5B056CAE"/>
    <w:rsid w:val="5BF4AC83"/>
    <w:rsid w:val="5C664A4B"/>
    <w:rsid w:val="5CE67D31"/>
    <w:rsid w:val="5E5F4050"/>
    <w:rsid w:val="5F04726A"/>
    <w:rsid w:val="5F6D37D2"/>
    <w:rsid w:val="5F9C081D"/>
    <w:rsid w:val="606677EA"/>
    <w:rsid w:val="60F34C3C"/>
    <w:rsid w:val="617668BD"/>
    <w:rsid w:val="61B26AA0"/>
    <w:rsid w:val="61D01645"/>
    <w:rsid w:val="6367DD6B"/>
    <w:rsid w:val="63723353"/>
    <w:rsid w:val="64164D78"/>
    <w:rsid w:val="64993141"/>
    <w:rsid w:val="659F27EB"/>
    <w:rsid w:val="659F600E"/>
    <w:rsid w:val="67CE6661"/>
    <w:rsid w:val="67EFF394"/>
    <w:rsid w:val="680A5A06"/>
    <w:rsid w:val="68B9403E"/>
    <w:rsid w:val="68D511B9"/>
    <w:rsid w:val="68FA6041"/>
    <w:rsid w:val="69827CEE"/>
    <w:rsid w:val="6BDE71F2"/>
    <w:rsid w:val="6C9577EB"/>
    <w:rsid w:val="6CBA3A99"/>
    <w:rsid w:val="6D3A1203"/>
    <w:rsid w:val="6D3B4209"/>
    <w:rsid w:val="6E9C369D"/>
    <w:rsid w:val="6EDB5318"/>
    <w:rsid w:val="6EF41B11"/>
    <w:rsid w:val="6F9A71E6"/>
    <w:rsid w:val="702573F3"/>
    <w:rsid w:val="70B57531"/>
    <w:rsid w:val="70FA499F"/>
    <w:rsid w:val="723E9266"/>
    <w:rsid w:val="730C182D"/>
    <w:rsid w:val="73FC9A3F"/>
    <w:rsid w:val="751974A1"/>
    <w:rsid w:val="758B30E4"/>
    <w:rsid w:val="75F42331"/>
    <w:rsid w:val="761F7C3C"/>
    <w:rsid w:val="76683D2A"/>
    <w:rsid w:val="76C62D9E"/>
    <w:rsid w:val="78244617"/>
    <w:rsid w:val="783CB961"/>
    <w:rsid w:val="79DD0E28"/>
    <w:rsid w:val="7A923507"/>
    <w:rsid w:val="7ACB640D"/>
    <w:rsid w:val="7BFF1A29"/>
    <w:rsid w:val="7C044D89"/>
    <w:rsid w:val="7C63442B"/>
    <w:rsid w:val="7C9EF39E"/>
    <w:rsid w:val="7D3AA22F"/>
    <w:rsid w:val="7DE35ECA"/>
    <w:rsid w:val="7E1A0C5A"/>
    <w:rsid w:val="7E3212D3"/>
    <w:rsid w:val="7F5F887D"/>
    <w:rsid w:val="7FCC7D05"/>
    <w:rsid w:val="7FEF42B8"/>
    <w:rsid w:val="99EB1DAD"/>
    <w:rsid w:val="9FD01BC3"/>
    <w:rsid w:val="AF08F422"/>
    <w:rsid w:val="AFBF5DB3"/>
    <w:rsid w:val="B2FF4DCE"/>
    <w:rsid w:val="B3FE25BF"/>
    <w:rsid w:val="BE6E0F8F"/>
    <w:rsid w:val="C679D4D5"/>
    <w:rsid w:val="CB7EED29"/>
    <w:rsid w:val="CF34F8EC"/>
    <w:rsid w:val="D3FFF2E3"/>
    <w:rsid w:val="D4B948F0"/>
    <w:rsid w:val="D7BE90C3"/>
    <w:rsid w:val="DEFDB84A"/>
    <w:rsid w:val="EFFF16A0"/>
    <w:rsid w:val="F3F331A4"/>
    <w:rsid w:val="F3FF81F7"/>
    <w:rsid w:val="F5F39E60"/>
    <w:rsid w:val="F7FE62B6"/>
    <w:rsid w:val="FA543BA3"/>
    <w:rsid w:val="FD7F9463"/>
    <w:rsid w:val="FDFAAA7E"/>
    <w:rsid w:val="FE53B14A"/>
    <w:rsid w:val="FEAED78B"/>
    <w:rsid w:val="FED705B3"/>
    <w:rsid w:val="FFB737C4"/>
    <w:rsid w:val="FFD7EA8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38127</Words>
  <Characters>40465</Characters>
  <Lines>1</Lines>
  <Paragraphs>1</Paragraphs>
  <TotalTime>0</TotalTime>
  <ScaleCrop>false</ScaleCrop>
  <LinksUpToDate>false</LinksUpToDate>
  <CharactersWithSpaces>40819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hccb</cp:lastModifiedBy>
  <dcterms:modified xsi:type="dcterms:W3CDTF">2026-01-30T05:29:05Z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FF41FEB8DC05E76DA51C7C69C022D860_43</vt:lpwstr>
  </property>
</Properties>
</file>