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837" w:lineRule="atLeast"/>
        <w:jc w:val="center"/>
        <w:outlineLvl w:val="1"/>
        <w:rPr>
          <w:rFonts w:cs="宋体" w:asciiTheme="majorEastAsia" w:hAnsiTheme="majorEastAsia" w:eastAsiaTheme="majorEastAsia"/>
          <w:b/>
          <w:bCs/>
          <w:color w:val="004EA2"/>
          <w:kern w:val="0"/>
          <w:sz w:val="27"/>
          <w:szCs w:val="27"/>
        </w:rPr>
      </w:pPr>
      <w:r>
        <w:rPr>
          <w:rFonts w:hint="eastAsia" w:cs="宋体" w:asciiTheme="majorEastAsia" w:hAnsiTheme="majorEastAsia" w:eastAsiaTheme="majorEastAsia"/>
          <w:b/>
          <w:bCs/>
          <w:color w:val="004EA2"/>
          <w:kern w:val="0"/>
          <w:sz w:val="27"/>
          <w:szCs w:val="27"/>
        </w:rPr>
        <w:t>杭银理财幸福99年添益2218期理财（TYG13M2218）</w:t>
      </w:r>
    </w:p>
    <w:p>
      <w:pPr>
        <w:widowControl/>
        <w:shd w:val="clear" w:color="auto" w:fill="FFFFFF"/>
        <w:spacing w:line="837" w:lineRule="atLeast"/>
        <w:jc w:val="center"/>
        <w:outlineLvl w:val="1"/>
        <w:rPr>
          <w:rFonts w:cs="宋体" w:asciiTheme="majorEastAsia" w:hAnsiTheme="majorEastAsia" w:eastAsiaTheme="majorEastAsia"/>
          <w:b/>
          <w:bCs/>
          <w:color w:val="004EA2"/>
          <w:kern w:val="0"/>
          <w:sz w:val="27"/>
          <w:szCs w:val="27"/>
        </w:rPr>
      </w:pPr>
      <w:r>
        <w:rPr>
          <w:rFonts w:hint="eastAsia" w:cs="宋体" w:asciiTheme="majorEastAsia" w:hAnsiTheme="majorEastAsia" w:eastAsiaTheme="majorEastAsia"/>
          <w:b/>
          <w:bCs/>
          <w:color w:val="004EA2"/>
          <w:kern w:val="0"/>
          <w:sz w:val="27"/>
          <w:szCs w:val="27"/>
        </w:rPr>
        <w:t>业绩比较基准及开放期公告</w:t>
      </w:r>
    </w:p>
    <w:p>
      <w:pPr>
        <w:widowControl/>
        <w:tabs>
          <w:tab w:val="left" w:pos="2930"/>
        </w:tabs>
        <w:jc w:val="left"/>
        <w:rPr>
          <w:rFonts w:ascii="宋体" w:hAnsi="宋体" w:cs="宋体"/>
          <w:color w:val="333333"/>
          <w:kern w:val="0"/>
          <w:sz w:val="24"/>
        </w:rPr>
      </w:pPr>
    </w:p>
    <w:p>
      <w:pPr>
        <w:widowControl/>
        <w:tabs>
          <w:tab w:val="left" w:pos="2930"/>
        </w:tabs>
        <w:jc w:val="left"/>
        <w:rPr>
          <w:rFonts w:ascii="宋体" w:hAnsi="宋体" w:cs="宋体"/>
          <w:color w:val="333333"/>
          <w:kern w:val="0"/>
          <w:sz w:val="24"/>
        </w:rPr>
      </w:pPr>
      <w:r>
        <w:rPr>
          <w:rFonts w:hint="eastAsia" w:ascii="宋体" w:hAnsi="宋体" w:cs="宋体"/>
          <w:color w:val="333333"/>
          <w:kern w:val="0"/>
          <w:sz w:val="24"/>
        </w:rPr>
        <w:t>尊敬的投资者：</w:t>
      </w:r>
    </w:p>
    <w:p>
      <w:pPr>
        <w:widowControl/>
        <w:tabs>
          <w:tab w:val="left" w:pos="2930"/>
        </w:tabs>
        <w:spacing w:before="100" w:beforeAutospacing="1" w:after="100" w:afterAutospacing="1" w:line="360" w:lineRule="auto"/>
        <w:ind w:firstLine="480" w:firstLineChars="200"/>
        <w:jc w:val="left"/>
        <w:rPr>
          <w:rFonts w:ascii="宋体" w:hAnsi="宋体" w:cs="宋体"/>
          <w:color w:val="333333"/>
          <w:kern w:val="0"/>
          <w:sz w:val="24"/>
        </w:rPr>
      </w:pPr>
      <w:r>
        <w:rPr>
          <w:rFonts w:hint="eastAsia" w:ascii="宋体" w:hAnsi="宋体" w:cs="宋体"/>
          <w:color w:val="333333"/>
          <w:kern w:val="0"/>
          <w:sz w:val="24"/>
        </w:rPr>
        <w:t>根据市场情况及产品投资的资产组合收益变动情况，杭银理财幸福99年添益2218期理财（产品编号：TYG13M2218）下一运行周期（2026-02-25至2027-02-23）的业绩比较基准如下：</w:t>
      </w:r>
    </w:p>
    <w:tbl>
      <w:tblPr>
        <w:tblStyle w:val="8"/>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5"/>
        <w:gridCol w:w="5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5"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销售代码</w:t>
            </w:r>
          </w:p>
        </w:tc>
        <w:tc>
          <w:tcPr>
            <w:tcW w:w="5941"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业绩比较基准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5"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TYG13M2218A</w:t>
            </w:r>
          </w:p>
        </w:tc>
        <w:tc>
          <w:tcPr>
            <w:tcW w:w="5941"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中国人民银行公布的1年期定期存款利率+0.4%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5"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TYG13M2218B</w:t>
            </w:r>
          </w:p>
        </w:tc>
        <w:tc>
          <w:tcPr>
            <w:tcW w:w="5941"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中国人民银行公布的1年期定期存款利率+0.4%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5"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TYG13M2218D</w:t>
            </w:r>
          </w:p>
        </w:tc>
        <w:tc>
          <w:tcPr>
            <w:tcW w:w="5941"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中国人民银行公布的1年期定期存款利率+0.4%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5"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TYG13M2218E</w:t>
            </w:r>
          </w:p>
        </w:tc>
        <w:tc>
          <w:tcPr>
            <w:tcW w:w="5941"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中国人民银行公布的1年期定期存款利率+0.4%</w:t>
            </w:r>
          </w:p>
        </w:tc>
      </w:tr>
    </w:tbl>
    <w:p>
      <w:pPr>
        <w:widowControl/>
        <w:tabs>
          <w:tab w:val="left" w:pos="2930"/>
        </w:tabs>
        <w:spacing w:before="100" w:beforeAutospacing="1" w:after="100" w:afterAutospacing="1" w:line="360" w:lineRule="auto"/>
        <w:ind w:firstLine="482" w:firstLineChars="200"/>
        <w:jc w:val="left"/>
        <w:rPr>
          <w:rFonts w:ascii="宋体" w:hAnsi="宋体" w:cs="宋体"/>
          <w:color w:val="333333"/>
          <w:kern w:val="0"/>
          <w:sz w:val="24"/>
        </w:rPr>
      </w:pPr>
      <w:r>
        <w:rPr>
          <w:rFonts w:hint="eastAsia" w:ascii="宋体" w:hAnsi="宋体" w:cs="宋体"/>
          <w:b/>
          <w:bCs/>
          <w:color w:val="333333"/>
          <w:kern w:val="0"/>
          <w:sz w:val="24"/>
        </w:rPr>
        <w:t>杭银理财幸福99年添益2218期理财（产品编号：TYG13M2218）本周期</w:t>
      </w:r>
      <w:r>
        <w:rPr>
          <w:rFonts w:hint="eastAsia" w:ascii="宋体" w:hAnsi="宋体" w:cs="宋体"/>
          <w:color w:val="333333"/>
          <w:kern w:val="0"/>
          <w:sz w:val="24"/>
        </w:rPr>
        <w:t>开放期具体安排如下，开放期最后一日及确认日如遇非工作日，则依次顺延至下一个工作日，敬请投资者关注，提前做好投资安排。</w:t>
      </w:r>
    </w:p>
    <w:tbl>
      <w:tblPr>
        <w:tblStyle w:val="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976"/>
        <w:gridCol w:w="1701"/>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销售代码</w:t>
            </w:r>
          </w:p>
        </w:tc>
        <w:tc>
          <w:tcPr>
            <w:tcW w:w="297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开放时间安排</w:t>
            </w:r>
          </w:p>
        </w:tc>
        <w:tc>
          <w:tcPr>
            <w:tcW w:w="1701"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确认日</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交易类型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TYG13M2218A</w:t>
            </w:r>
          </w:p>
        </w:tc>
        <w:tc>
          <w:tcPr>
            <w:tcW w:w="297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 xml:space="preserve">2026-02-04 9:00至 </w:t>
            </w:r>
            <w:r>
              <w:rPr>
                <w:rFonts w:ascii="宋体" w:hAnsi="宋体" w:eastAsia="宋体" w:cs="宋体"/>
                <w:color w:val="333333"/>
                <w:sz w:val="24"/>
              </w:rPr>
              <w:t>2026-02-24</w:t>
            </w:r>
            <w:r>
              <w:rPr>
                <w:rFonts w:hint="eastAsia" w:ascii="宋体" w:hAnsi="宋体" w:cs="宋体"/>
                <w:color w:val="333333"/>
                <w:kern w:val="0"/>
                <w:sz w:val="24"/>
              </w:rPr>
              <w:t xml:space="preserve"> 17:00</w:t>
            </w:r>
          </w:p>
        </w:tc>
        <w:tc>
          <w:tcPr>
            <w:tcW w:w="1701"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2026-02-25</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可申购、可赎回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TYG13M2218B</w:t>
            </w:r>
          </w:p>
        </w:tc>
        <w:tc>
          <w:tcPr>
            <w:tcW w:w="297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 xml:space="preserve">2026-02-04 9:00至 </w:t>
            </w:r>
            <w:r>
              <w:rPr>
                <w:rFonts w:ascii="宋体" w:hAnsi="宋体" w:eastAsia="宋体" w:cs="宋体"/>
                <w:color w:val="333333"/>
                <w:sz w:val="24"/>
              </w:rPr>
              <w:t>2026-02-24</w:t>
            </w:r>
            <w:r>
              <w:rPr>
                <w:rFonts w:hint="eastAsia" w:ascii="宋体" w:hAnsi="宋体" w:cs="宋体"/>
                <w:color w:val="333333"/>
                <w:kern w:val="0"/>
                <w:sz w:val="24"/>
              </w:rPr>
              <w:t xml:space="preserve"> 17:00</w:t>
            </w:r>
          </w:p>
        </w:tc>
        <w:tc>
          <w:tcPr>
            <w:tcW w:w="1701"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2026-02-25</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可申购、可赎回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TYG13M2218D</w:t>
            </w:r>
          </w:p>
        </w:tc>
        <w:tc>
          <w:tcPr>
            <w:tcW w:w="297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 xml:space="preserve">2026-02-04 9:00至 </w:t>
            </w:r>
            <w:r>
              <w:rPr>
                <w:rFonts w:ascii="宋体" w:hAnsi="宋体" w:eastAsia="宋体" w:cs="宋体"/>
                <w:color w:val="333333"/>
                <w:sz w:val="24"/>
              </w:rPr>
              <w:t>2026-02-24</w:t>
            </w:r>
            <w:r>
              <w:rPr>
                <w:rFonts w:hint="eastAsia" w:ascii="宋体" w:hAnsi="宋体" w:cs="宋体"/>
                <w:color w:val="333333"/>
                <w:kern w:val="0"/>
                <w:sz w:val="24"/>
              </w:rPr>
              <w:t xml:space="preserve"> 17:00</w:t>
            </w:r>
          </w:p>
        </w:tc>
        <w:tc>
          <w:tcPr>
            <w:tcW w:w="1701"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2026-02-25</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可申购、可赎回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TYG13M2218E</w:t>
            </w:r>
          </w:p>
        </w:tc>
        <w:tc>
          <w:tcPr>
            <w:tcW w:w="297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 xml:space="preserve">2026-02-04 9:00至 </w:t>
            </w:r>
            <w:r>
              <w:rPr>
                <w:rFonts w:ascii="宋体" w:hAnsi="宋体" w:eastAsia="宋体" w:cs="宋体"/>
                <w:color w:val="333333"/>
                <w:sz w:val="24"/>
              </w:rPr>
              <w:t>2026-02-24</w:t>
            </w:r>
            <w:r>
              <w:rPr>
                <w:rFonts w:hint="eastAsia" w:ascii="宋体" w:hAnsi="宋体" w:cs="宋体"/>
                <w:color w:val="333333"/>
                <w:kern w:val="0"/>
                <w:sz w:val="24"/>
              </w:rPr>
              <w:t xml:space="preserve"> 17:00</w:t>
            </w:r>
          </w:p>
        </w:tc>
        <w:tc>
          <w:tcPr>
            <w:tcW w:w="1701"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2026-02-25</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可申购、可赎回</w:t>
            </w:r>
          </w:p>
        </w:tc>
      </w:tr>
    </w:tbl>
    <w:p>
      <w:pPr>
        <w:widowControl/>
        <w:tabs>
          <w:tab w:val="left" w:pos="2930"/>
        </w:tabs>
        <w:spacing w:before="100" w:beforeAutospacing="1" w:after="100" w:afterAutospacing="1" w:line="360" w:lineRule="auto"/>
        <w:ind w:firstLine="482" w:firstLineChars="200"/>
        <w:jc w:val="left"/>
        <w:rPr>
          <w:rFonts w:ascii="宋体" w:hAnsi="宋体" w:cs="宋体"/>
          <w:color w:val="333333"/>
          <w:kern w:val="0"/>
          <w:sz w:val="24"/>
        </w:rPr>
      </w:pPr>
      <w:r>
        <w:rPr>
          <w:rFonts w:hint="eastAsia" w:ascii="宋体" w:hAnsi="宋体" w:cs="宋体"/>
          <w:b/>
          <w:bCs/>
          <w:color w:val="333333"/>
          <w:kern w:val="0"/>
          <w:sz w:val="24"/>
        </w:rPr>
        <w:t>杭银理财幸福99年添益2218期理财（产品编号：TYG13M2218）下周期</w:t>
      </w:r>
      <w:r>
        <w:rPr>
          <w:rFonts w:hint="eastAsia" w:ascii="宋体" w:hAnsi="宋体" w:cs="宋体"/>
          <w:color w:val="333333"/>
          <w:kern w:val="0"/>
          <w:sz w:val="24"/>
        </w:rPr>
        <w:t>开放期具体安排如下，开放期最后一日及确认日如遇非工作日，则依次顺延至下一个工作日，敬请投资者关注，提前做好投资安排。</w:t>
      </w:r>
    </w:p>
    <w:tbl>
      <w:tblPr>
        <w:tblStyle w:val="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976"/>
        <w:gridCol w:w="1701"/>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销售代码</w:t>
            </w:r>
          </w:p>
        </w:tc>
        <w:tc>
          <w:tcPr>
            <w:tcW w:w="297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开放时间安排</w:t>
            </w:r>
          </w:p>
        </w:tc>
        <w:tc>
          <w:tcPr>
            <w:tcW w:w="1701"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确认日</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交易类型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TYG13M2218A</w:t>
            </w:r>
          </w:p>
        </w:tc>
        <w:tc>
          <w:tcPr>
            <w:tcW w:w="297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 xml:space="preserve">2027-02-03 9:00至 </w:t>
            </w:r>
            <w:r>
              <w:rPr>
                <w:rFonts w:ascii="宋体" w:hAnsi="宋体" w:eastAsia="宋体" w:cs="宋体"/>
                <w:color w:val="333333"/>
                <w:sz w:val="24"/>
              </w:rPr>
              <w:t>2027-02-23</w:t>
            </w:r>
            <w:r>
              <w:rPr>
                <w:rFonts w:hint="eastAsia" w:ascii="宋体" w:hAnsi="宋体" w:cs="宋体"/>
                <w:color w:val="333333"/>
                <w:kern w:val="0"/>
                <w:sz w:val="24"/>
              </w:rPr>
              <w:t xml:space="preserve"> 17:00</w:t>
            </w:r>
          </w:p>
        </w:tc>
        <w:tc>
          <w:tcPr>
            <w:tcW w:w="1701"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2027-02-24</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可申购、可赎回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TYG13M2218B</w:t>
            </w:r>
          </w:p>
        </w:tc>
        <w:tc>
          <w:tcPr>
            <w:tcW w:w="297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 xml:space="preserve">2027-02-03 9:00至 </w:t>
            </w:r>
            <w:r>
              <w:rPr>
                <w:rFonts w:ascii="宋体" w:hAnsi="宋体" w:eastAsia="宋体" w:cs="宋体"/>
                <w:color w:val="333333"/>
                <w:sz w:val="24"/>
              </w:rPr>
              <w:t>2027-02-23</w:t>
            </w:r>
            <w:r>
              <w:rPr>
                <w:rFonts w:hint="eastAsia" w:ascii="宋体" w:hAnsi="宋体" w:cs="宋体"/>
                <w:color w:val="333333"/>
                <w:kern w:val="0"/>
                <w:sz w:val="24"/>
              </w:rPr>
              <w:t xml:space="preserve"> 17:00</w:t>
            </w:r>
          </w:p>
        </w:tc>
        <w:tc>
          <w:tcPr>
            <w:tcW w:w="1701"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2027-02-24</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可申购、可赎回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TYG13M2218D</w:t>
            </w:r>
          </w:p>
        </w:tc>
        <w:tc>
          <w:tcPr>
            <w:tcW w:w="297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 xml:space="preserve">2027-02-03 9:00至 </w:t>
            </w:r>
            <w:r>
              <w:rPr>
                <w:rFonts w:ascii="宋体" w:hAnsi="宋体" w:eastAsia="宋体" w:cs="宋体"/>
                <w:color w:val="333333"/>
                <w:sz w:val="24"/>
              </w:rPr>
              <w:t>2027-02-23</w:t>
            </w:r>
            <w:r>
              <w:rPr>
                <w:rFonts w:hint="eastAsia" w:ascii="宋体" w:hAnsi="宋体" w:cs="宋体"/>
                <w:color w:val="333333"/>
                <w:kern w:val="0"/>
                <w:sz w:val="24"/>
              </w:rPr>
              <w:t xml:space="preserve"> 17:00</w:t>
            </w:r>
          </w:p>
        </w:tc>
        <w:tc>
          <w:tcPr>
            <w:tcW w:w="1701"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2027-02-24</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可申购、可赎回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TYG13M2218E</w:t>
            </w:r>
          </w:p>
        </w:tc>
        <w:tc>
          <w:tcPr>
            <w:tcW w:w="297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 xml:space="preserve">2027-02-03 9:00至 </w:t>
            </w:r>
            <w:r>
              <w:rPr>
                <w:rFonts w:ascii="宋体" w:hAnsi="宋体" w:eastAsia="宋体" w:cs="宋体"/>
                <w:color w:val="333333"/>
                <w:sz w:val="24"/>
              </w:rPr>
              <w:t>2027-02-23</w:t>
            </w:r>
            <w:r>
              <w:rPr>
                <w:rFonts w:hint="eastAsia" w:ascii="宋体" w:hAnsi="宋体" w:cs="宋体"/>
                <w:color w:val="333333"/>
                <w:kern w:val="0"/>
                <w:sz w:val="24"/>
              </w:rPr>
              <w:t xml:space="preserve"> 17:00</w:t>
            </w:r>
          </w:p>
        </w:tc>
        <w:tc>
          <w:tcPr>
            <w:tcW w:w="1701"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2027-02-24</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可申购、可赎回</w:t>
            </w:r>
          </w:p>
        </w:tc>
      </w:tr>
    </w:tbl>
    <w:p>
      <w:pPr>
        <w:widowControl/>
        <w:tabs>
          <w:tab w:val="left" w:pos="2930"/>
        </w:tabs>
        <w:spacing w:before="100" w:beforeAutospacing="1" w:after="100" w:afterAutospacing="1" w:line="360" w:lineRule="auto"/>
        <w:ind w:firstLine="480" w:firstLineChars="200"/>
        <w:jc w:val="left"/>
        <w:rPr>
          <w:rFonts w:ascii="宋体" w:hAnsi="宋体" w:eastAsia="宋体" w:cs="宋体"/>
          <w:color w:val="333333"/>
          <w:sz w:val="24"/>
        </w:rPr>
      </w:pPr>
      <w:r>
        <w:rPr>
          <w:rFonts w:hint="eastAsia" w:ascii="宋体" w:hAnsi="宋体" w:eastAsia="宋体" w:cs="宋体"/>
          <w:color w:val="333333"/>
          <w:sz w:val="24"/>
          <w:lang w:val="en-US" w:eastAsia="zh-CN"/>
        </w:rPr>
        <w:t>同时，本产品于本次开放确认日起调整浮动管理费，具体如下</w:t>
      </w:r>
      <w:r>
        <w:rPr>
          <w:rFonts w:ascii="宋体" w:hAnsi="宋体" w:eastAsia="宋体" w:cs="宋体"/>
          <w:color w:val="333333"/>
          <w:sz w:val="24"/>
        </w:rPr>
        <w:t>：</w:t>
      </w:r>
    </w:p>
    <w:tbl>
      <w:tblPr>
        <w:tblStyle w:val="8"/>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2484"/>
        <w:gridCol w:w="2422"/>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825" w:type="dxa"/>
            <w:vAlign w:val="center"/>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ascii="宋体" w:hAnsi="宋体" w:eastAsia="宋体" w:cs="宋体"/>
                <w:color w:val="333333"/>
                <w:sz w:val="24"/>
              </w:rPr>
              <w:t>销售代码</w:t>
            </w:r>
          </w:p>
        </w:tc>
        <w:tc>
          <w:tcPr>
            <w:tcW w:w="2484" w:type="dxa"/>
            <w:vAlign w:val="center"/>
          </w:tcPr>
          <w:p>
            <w:pPr>
              <w:widowControl/>
              <w:tabs>
                <w:tab w:val="left" w:pos="2930"/>
              </w:tabs>
              <w:spacing w:before="100" w:beforeAutospacing="1" w:after="100" w:afterAutospacing="1" w:line="360" w:lineRule="auto"/>
              <w:jc w:val="center"/>
              <w:rPr>
                <w:rFonts w:hint="eastAsia" w:ascii="宋体" w:hAnsi="宋体" w:cs="宋体" w:eastAsiaTheme="minorEastAsia"/>
                <w:color w:val="333333"/>
                <w:kern w:val="0"/>
                <w:sz w:val="24"/>
                <w:lang w:eastAsia="zh-CN"/>
              </w:rPr>
            </w:pPr>
            <w:r>
              <w:rPr>
                <w:rFonts w:hint="eastAsia" w:ascii="宋体" w:hAnsi="宋体" w:cs="宋体"/>
                <w:color w:val="333333"/>
                <w:kern w:val="0"/>
                <w:sz w:val="24"/>
                <w:lang w:val="en-US" w:eastAsia="zh-CN"/>
              </w:rPr>
              <w:t>调整前</w:t>
            </w:r>
          </w:p>
        </w:tc>
        <w:tc>
          <w:tcPr>
            <w:tcW w:w="2422" w:type="dxa"/>
            <w:vAlign w:val="center"/>
          </w:tcPr>
          <w:p>
            <w:pPr>
              <w:widowControl/>
              <w:tabs>
                <w:tab w:val="left" w:pos="2930"/>
              </w:tabs>
              <w:spacing w:before="100" w:beforeAutospacing="1" w:after="100" w:afterAutospacing="1" w:line="360" w:lineRule="auto"/>
              <w:jc w:val="center"/>
              <w:rPr>
                <w:rFonts w:hint="default" w:ascii="宋体" w:hAnsi="宋体" w:cs="宋体" w:eastAsiaTheme="minorEastAsia"/>
                <w:color w:val="333333"/>
                <w:kern w:val="0"/>
                <w:sz w:val="24"/>
                <w:lang w:val="en-US" w:eastAsia="zh-CN"/>
              </w:rPr>
            </w:pPr>
            <w:r>
              <w:rPr>
                <w:rFonts w:hint="eastAsia" w:ascii="宋体" w:hAnsi="宋体" w:cs="宋体"/>
                <w:color w:val="333333"/>
                <w:kern w:val="0"/>
                <w:sz w:val="24"/>
                <w:lang w:val="en-US" w:eastAsia="zh-CN"/>
              </w:rPr>
              <w:t>调整后</w:t>
            </w:r>
          </w:p>
        </w:tc>
        <w:tc>
          <w:tcPr>
            <w:tcW w:w="1785" w:type="dxa"/>
            <w:vAlign w:val="center"/>
          </w:tcPr>
          <w:p>
            <w:pPr>
              <w:widowControl/>
              <w:tabs>
                <w:tab w:val="left" w:pos="2930"/>
              </w:tabs>
              <w:spacing w:before="100" w:beforeAutospacing="1" w:after="100" w:afterAutospacing="1" w:line="360" w:lineRule="auto"/>
              <w:jc w:val="center"/>
              <w:rPr>
                <w:rFonts w:hint="default" w:ascii="宋体" w:hAnsi="宋体" w:cs="宋体" w:eastAsiaTheme="minorEastAsia"/>
                <w:color w:val="333333"/>
                <w:kern w:val="0"/>
                <w:sz w:val="24"/>
                <w:lang w:val="en-US" w:eastAsia="zh-CN"/>
              </w:rPr>
            </w:pPr>
            <w:r>
              <w:rPr>
                <w:rFonts w:hint="eastAsia" w:ascii="宋体" w:hAnsi="宋体" w:cs="宋体"/>
                <w:color w:val="333333"/>
                <w:kern w:val="0"/>
                <w:sz w:val="24"/>
                <w:lang w:val="en-US" w:eastAsia="zh-CN"/>
              </w:rPr>
              <w:t>生效时间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9" w:hRule="atLeast"/>
        </w:trPr>
        <w:tc>
          <w:tcPr>
            <w:tcW w:w="1825" w:type="dxa"/>
            <w:vAlign w:val="top"/>
          </w:tcPr>
          <w:p>
            <w:pPr>
              <w:widowControl/>
              <w:tabs>
                <w:tab w:val="left" w:pos="2930"/>
              </w:tabs>
              <w:spacing w:before="100" w:beforeAutospacing="1" w:after="100" w:afterAutospacing="1" w:line="360" w:lineRule="auto"/>
              <w:jc w:val="center"/>
              <w:rPr>
                <w:rFonts w:hint="default" w:ascii="宋体" w:hAnsi="宋体" w:cs="宋体" w:eastAsiaTheme="minorEastAsia"/>
                <w:color w:val="333333"/>
                <w:kern w:val="0"/>
                <w:sz w:val="24"/>
                <w:lang w:val="en-US" w:eastAsia="zh-CN"/>
              </w:rPr>
            </w:pPr>
            <w:r>
              <w:rPr>
                <w:rFonts w:hint="eastAsia" w:ascii="宋体" w:hAnsi="宋体" w:cs="宋体"/>
                <w:color w:val="333333"/>
                <w:kern w:val="0"/>
                <w:sz w:val="24"/>
              </w:rPr>
              <w:t>TYG13M2218A</w:t>
            </w:r>
          </w:p>
        </w:tc>
        <w:tc>
          <w:tcPr>
            <w:tcW w:w="2484" w:type="dxa"/>
            <w:vAlign w:val="center"/>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管理人根据理财计划投资情况计算浮动管理费，本理财计划份额投资周期的折合年化收益率超过业绩比较基准上限的部分,管理人提取〖60%〗作为浮动管理费。</w:t>
            </w:r>
          </w:p>
        </w:tc>
        <w:tc>
          <w:tcPr>
            <w:tcW w:w="2422" w:type="dxa"/>
            <w:vAlign w:val="center"/>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管理人根据理财计划投资情况计算浮动管理费，本理财计划份额投资周期的〖折合年化收益率超过3.</w:t>
            </w:r>
            <w:r>
              <w:rPr>
                <w:rFonts w:hint="eastAsia" w:ascii="宋体" w:hAnsi="宋体" w:cs="宋体"/>
                <w:color w:val="333333"/>
                <w:kern w:val="0"/>
                <w:sz w:val="24"/>
                <w:lang w:val="en-US" w:eastAsia="zh-CN"/>
              </w:rPr>
              <w:t>10</w:t>
            </w:r>
            <w:r>
              <w:rPr>
                <w:rFonts w:hint="eastAsia" w:ascii="宋体" w:hAnsi="宋体" w:cs="宋体"/>
                <w:color w:val="333333"/>
                <w:kern w:val="0"/>
                <w:sz w:val="24"/>
              </w:rPr>
              <w:t>%〗的部分,管理人提取〖40%〗作为浮动管理费</w:t>
            </w:r>
          </w:p>
        </w:tc>
        <w:tc>
          <w:tcPr>
            <w:tcW w:w="1785"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2026-02-25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9" w:hRule="atLeast"/>
        </w:trPr>
        <w:tc>
          <w:tcPr>
            <w:tcW w:w="1825" w:type="dxa"/>
            <w:vAlign w:val="top"/>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TYG13M2218B</w:t>
            </w:r>
          </w:p>
        </w:tc>
        <w:tc>
          <w:tcPr>
            <w:tcW w:w="2484" w:type="dxa"/>
            <w:vAlign w:val="center"/>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管理人根据理财计划投资情况计算浮动管理费，本理财计划份额投资周期的折合年化收益率超过业绩比较基准上限的部分,管理人提取〖60%〗作为浮动管理费。</w:t>
            </w:r>
          </w:p>
        </w:tc>
        <w:tc>
          <w:tcPr>
            <w:tcW w:w="2422" w:type="dxa"/>
            <w:vAlign w:val="center"/>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管理人根据理财计划投资情况计算浮动管理费，本理财计划份额投资周期的〖折合年化收益率超过3.</w:t>
            </w:r>
            <w:r>
              <w:rPr>
                <w:rFonts w:hint="eastAsia" w:ascii="宋体" w:hAnsi="宋体" w:cs="宋体"/>
                <w:color w:val="333333"/>
                <w:kern w:val="0"/>
                <w:sz w:val="24"/>
                <w:lang w:val="en-US" w:eastAsia="zh-CN"/>
              </w:rPr>
              <w:t>20</w:t>
            </w:r>
            <w:r>
              <w:rPr>
                <w:rFonts w:hint="eastAsia" w:ascii="宋体" w:hAnsi="宋体" w:cs="宋体"/>
                <w:color w:val="333333"/>
                <w:kern w:val="0"/>
                <w:sz w:val="24"/>
              </w:rPr>
              <w:t>%〗的部分,管理人提取〖40%〗作为浮动管理费</w:t>
            </w:r>
          </w:p>
        </w:tc>
        <w:tc>
          <w:tcPr>
            <w:tcW w:w="1785"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2026-02-25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9" w:hRule="atLeast"/>
        </w:trPr>
        <w:tc>
          <w:tcPr>
            <w:tcW w:w="1825"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TYG13M2218D</w:t>
            </w:r>
          </w:p>
        </w:tc>
        <w:tc>
          <w:tcPr>
            <w:tcW w:w="2484" w:type="dxa"/>
            <w:vAlign w:val="center"/>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管理人根据理财计划投资情况计算浮动管理费，本理财计划份额投资周期的折合年化收益率超过业绩比较基准上限的部分,管理人提取〖60%〗作为浮动管理费。</w:t>
            </w:r>
          </w:p>
        </w:tc>
        <w:tc>
          <w:tcPr>
            <w:tcW w:w="2422" w:type="dxa"/>
            <w:vAlign w:val="center"/>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管理人根据理财计划投资情况计算浮动管理费，本理财计划份额投资周期的〖折合年化收益率超过3.</w:t>
            </w:r>
            <w:r>
              <w:rPr>
                <w:rFonts w:hint="eastAsia" w:ascii="宋体" w:hAnsi="宋体" w:cs="宋体"/>
                <w:color w:val="333333"/>
                <w:kern w:val="0"/>
                <w:sz w:val="24"/>
                <w:lang w:val="en-US" w:eastAsia="zh-CN"/>
              </w:rPr>
              <w:t>30</w:t>
            </w:r>
            <w:r>
              <w:rPr>
                <w:rFonts w:hint="eastAsia" w:ascii="宋体" w:hAnsi="宋体" w:cs="宋体"/>
                <w:color w:val="333333"/>
                <w:kern w:val="0"/>
                <w:sz w:val="24"/>
              </w:rPr>
              <w:t>%〗的部分,管理人提取〖40%〗作为浮动管理费</w:t>
            </w:r>
          </w:p>
        </w:tc>
        <w:tc>
          <w:tcPr>
            <w:tcW w:w="1785"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2026-02-25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9" w:hRule="atLeast"/>
        </w:trPr>
        <w:tc>
          <w:tcPr>
            <w:tcW w:w="1825"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TYG13M2218E</w:t>
            </w:r>
          </w:p>
        </w:tc>
        <w:tc>
          <w:tcPr>
            <w:tcW w:w="2484" w:type="dxa"/>
            <w:vAlign w:val="center"/>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管理人根据理财计划投资情况计算浮动管理费，本理财计划份额投资周期的折合年化收益率超过业绩比较基准上限的部分,管理人提取〖60%〗作为浮动管理费。</w:t>
            </w:r>
          </w:p>
        </w:tc>
        <w:tc>
          <w:tcPr>
            <w:tcW w:w="2422" w:type="dxa"/>
            <w:vAlign w:val="center"/>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管理人根据理财计划投资情况计算浮动管理费，本理财计划份额投资周期的〖折合年化收益率超过3.</w:t>
            </w:r>
            <w:r>
              <w:rPr>
                <w:rFonts w:hint="eastAsia" w:ascii="宋体" w:hAnsi="宋体" w:cs="宋体"/>
                <w:color w:val="333333"/>
                <w:kern w:val="0"/>
                <w:sz w:val="24"/>
                <w:lang w:val="en-US" w:eastAsia="zh-CN"/>
              </w:rPr>
              <w:t>40</w:t>
            </w:r>
            <w:r>
              <w:rPr>
                <w:rFonts w:hint="eastAsia" w:ascii="宋体" w:hAnsi="宋体" w:cs="宋体"/>
                <w:color w:val="333333"/>
                <w:kern w:val="0"/>
                <w:sz w:val="24"/>
              </w:rPr>
              <w:t>%〗的部分,管理人提取〖40%〗作为浮动管理费</w:t>
            </w:r>
          </w:p>
        </w:tc>
        <w:tc>
          <w:tcPr>
            <w:tcW w:w="1785"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2026-02-25</w:t>
            </w:r>
          </w:p>
        </w:tc>
      </w:tr>
    </w:tbl>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注：</w:t>
      </w:r>
    </w:p>
    <w:p>
      <w:pPr>
        <w:widowControl/>
        <w:numPr>
          <w:ilvl w:val="0"/>
          <w:numId w:val="1"/>
        </w:numPr>
        <w:spacing w:line="360" w:lineRule="auto"/>
        <w:jc w:val="left"/>
        <w:rPr>
          <w:rFonts w:ascii="宋体" w:hAnsi="宋体" w:cs="宋体"/>
          <w:kern w:val="0"/>
          <w:szCs w:val="21"/>
        </w:rPr>
      </w:pPr>
      <w:r>
        <w:rPr>
          <w:rFonts w:hint="eastAsia" w:ascii="宋体" w:hAnsi="宋体" w:cs="宋体"/>
          <w:kern w:val="0"/>
          <w:szCs w:val="21"/>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p>
      <w:pPr>
        <w:widowControl/>
        <w:numPr>
          <w:ilvl w:val="0"/>
          <w:numId w:val="1"/>
        </w:numPr>
        <w:spacing w:line="360" w:lineRule="auto"/>
        <w:jc w:val="left"/>
        <w:rPr>
          <w:rFonts w:ascii="宋体" w:hAnsi="宋体" w:cs="宋体"/>
          <w:kern w:val="0"/>
          <w:szCs w:val="21"/>
        </w:rPr>
      </w:pPr>
      <w:r>
        <w:rPr>
          <w:rFonts w:hint="eastAsia" w:ascii="宋体" w:hAnsi="宋体" w:cs="宋体"/>
          <w:kern w:val="0"/>
          <w:szCs w:val="21"/>
        </w:rPr>
        <w:t>如法定节假日调整，管理人将对公告中的日期做出相应调整，以管理人最新公告为准。</w:t>
      </w:r>
    </w:p>
    <w:p>
      <w:pPr>
        <w:widowControl/>
        <w:numPr>
          <w:ilvl w:val="0"/>
          <w:numId w:val="1"/>
        </w:numPr>
        <w:spacing w:line="360" w:lineRule="auto"/>
        <w:jc w:val="left"/>
        <w:rPr>
          <w:rFonts w:ascii="宋体" w:hAnsi="宋体" w:cs="宋体"/>
          <w:kern w:val="0"/>
          <w:szCs w:val="21"/>
        </w:rPr>
      </w:pPr>
      <w:r>
        <w:rPr>
          <w:rFonts w:hint="eastAsia" w:ascii="宋体" w:hAnsi="宋体" w:cs="宋体"/>
          <w:kern w:val="0"/>
          <w:szCs w:val="21"/>
        </w:rPr>
        <w:t>开放时间具体安排以销售机构规定为准。</w:t>
      </w:r>
    </w:p>
    <w:p>
      <w:pPr>
        <w:widowControl/>
        <w:jc w:val="right"/>
        <w:rPr>
          <w:rFonts w:ascii="微软雅黑" w:hAnsi="微软雅黑" w:cs="宋体"/>
          <w:color w:val="333333"/>
          <w:kern w:val="0"/>
          <w:sz w:val="24"/>
        </w:rPr>
      </w:pPr>
      <w:r>
        <w:rPr>
          <w:rFonts w:hint="eastAsia" w:ascii="微软雅黑" w:hAnsi="微软雅黑" w:cs="宋体"/>
          <w:color w:val="333333"/>
          <w:kern w:val="0"/>
          <w:sz w:val="24"/>
        </w:rPr>
        <w:t>                         杭银理财有限责任公司</w:t>
      </w:r>
    </w:p>
    <w:p>
      <w:pPr>
        <w:widowControl/>
        <w:jc w:val="right"/>
      </w:pPr>
      <w:r>
        <w:rPr>
          <w:rFonts w:hint="eastAsia" w:ascii="宋体" w:hAnsi="宋体" w:cs="宋体"/>
          <w:color w:val="333333"/>
          <w:kern w:val="0"/>
          <w:sz w:val="24"/>
        </w:rPr>
        <w:t>                         </w:t>
      </w:r>
      <w:r>
        <w:rPr>
          <w:rFonts w:ascii="宋体" w:hAnsi="宋体" w:eastAsia="宋体" w:cs="宋体"/>
          <w:color w:val="333333"/>
          <w:sz w:val="24"/>
        </w:rPr>
        <w:t>2026年1月</w:t>
      </w:r>
      <w:r>
        <w:rPr>
          <w:rFonts w:hint="eastAsia" w:ascii="宋体" w:hAnsi="宋体" w:eastAsia="宋体" w:cs="宋体"/>
          <w:color w:val="333333"/>
          <w:sz w:val="24"/>
          <w:lang w:val="en-US" w:eastAsia="zh-CN"/>
        </w:rPr>
        <w:t>30</w:t>
      </w:r>
      <w:bookmarkStart w:id="0" w:name="_GoBack"/>
      <w:bookmarkEnd w:id="0"/>
      <w:r>
        <w:rPr>
          <w:rFonts w:ascii="宋体" w:hAnsi="宋体" w:eastAsia="宋体" w:cs="宋体"/>
          <w:color w:val="333333"/>
          <w:sz w:val="24"/>
        </w:rPr>
        <w:t>日</w:t>
      </w:r>
    </w:p>
    <w:p>
      <w:pPr>
        <w:widowControl/>
        <w:jc w:val="right"/>
      </w:pPr>
    </w:p>
    <w:sectPr>
      <w:headerReference r:id="rId3" w:type="default"/>
      <w:pgSz w:w="11906" w:h="16838"/>
      <w:pgMar w:top="2551" w:right="1803" w:bottom="2551" w:left="1803"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5"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40627" descr="微信图片_20220817144322"/>
                  <pic:cNvPicPr>
                    <a:picLocks noChangeAspect="1"/>
                  </pic:cNvPicPr>
                </pic:nvPicPr>
                <pic:blipFill>
                  <a:blip r:embed="rId1"/>
                  <a:stretch>
                    <a:fillRect/>
                  </a:stretch>
                </pic:blipFill>
                <pic:spPr>
                  <a:xfrm>
                    <a:off x="0" y="0"/>
                    <a:ext cx="7543800" cy="106718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3C63B"/>
    <w:multiLevelType w:val="singleLevel"/>
    <w:tmpl w:val="4903C63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lY2ZiYmExOWJmOTY5NWFmNzQwOWFhNmE0ZjgxMTMifQ=="/>
  </w:docVars>
  <w:rsids>
    <w:rsidRoot w:val="6687052B"/>
    <w:rsid w:val="00040F12"/>
    <w:rsid w:val="0007073F"/>
    <w:rsid w:val="00076F95"/>
    <w:rsid w:val="000B5C80"/>
    <w:rsid w:val="00123A32"/>
    <w:rsid w:val="00182547"/>
    <w:rsid w:val="001E34DE"/>
    <w:rsid w:val="00216866"/>
    <w:rsid w:val="00251162"/>
    <w:rsid w:val="00261F9F"/>
    <w:rsid w:val="002979BD"/>
    <w:rsid w:val="003321DA"/>
    <w:rsid w:val="00366909"/>
    <w:rsid w:val="00374B44"/>
    <w:rsid w:val="00386722"/>
    <w:rsid w:val="003B478B"/>
    <w:rsid w:val="003B5EA1"/>
    <w:rsid w:val="00573F61"/>
    <w:rsid w:val="00632F14"/>
    <w:rsid w:val="006A11F6"/>
    <w:rsid w:val="006F1E86"/>
    <w:rsid w:val="00792C6B"/>
    <w:rsid w:val="00800AAF"/>
    <w:rsid w:val="008E2414"/>
    <w:rsid w:val="00941ACB"/>
    <w:rsid w:val="00970427"/>
    <w:rsid w:val="009C52F4"/>
    <w:rsid w:val="00A4089E"/>
    <w:rsid w:val="00B00500"/>
    <w:rsid w:val="00B0716D"/>
    <w:rsid w:val="00BB6E73"/>
    <w:rsid w:val="00C822CD"/>
    <w:rsid w:val="00D00D6A"/>
    <w:rsid w:val="00D01161"/>
    <w:rsid w:val="00DB32F4"/>
    <w:rsid w:val="00DD583F"/>
    <w:rsid w:val="00F25FAF"/>
    <w:rsid w:val="00F43942"/>
    <w:rsid w:val="01632288"/>
    <w:rsid w:val="023B73FD"/>
    <w:rsid w:val="035E6A6E"/>
    <w:rsid w:val="04EF499C"/>
    <w:rsid w:val="06090E49"/>
    <w:rsid w:val="086F3434"/>
    <w:rsid w:val="09D5040F"/>
    <w:rsid w:val="0AA12391"/>
    <w:rsid w:val="0C760411"/>
    <w:rsid w:val="0FAD1E3A"/>
    <w:rsid w:val="0FE05E22"/>
    <w:rsid w:val="0FFB2C2E"/>
    <w:rsid w:val="14064585"/>
    <w:rsid w:val="144D2883"/>
    <w:rsid w:val="161D7C87"/>
    <w:rsid w:val="169966B8"/>
    <w:rsid w:val="1774510A"/>
    <w:rsid w:val="192E28D5"/>
    <w:rsid w:val="1B395CAB"/>
    <w:rsid w:val="1DE30B4B"/>
    <w:rsid w:val="1E9A3ACF"/>
    <w:rsid w:val="1EF87BD2"/>
    <w:rsid w:val="1FB466A7"/>
    <w:rsid w:val="1FCB4E7D"/>
    <w:rsid w:val="212E6400"/>
    <w:rsid w:val="216138F2"/>
    <w:rsid w:val="21F964F5"/>
    <w:rsid w:val="22291B40"/>
    <w:rsid w:val="22680F97"/>
    <w:rsid w:val="227F642E"/>
    <w:rsid w:val="23E23118"/>
    <w:rsid w:val="252937ED"/>
    <w:rsid w:val="26CE5261"/>
    <w:rsid w:val="26F22D0A"/>
    <w:rsid w:val="28362D7D"/>
    <w:rsid w:val="29A34A1D"/>
    <w:rsid w:val="2B2B5DF9"/>
    <w:rsid w:val="2B991B88"/>
    <w:rsid w:val="2EDF0E96"/>
    <w:rsid w:val="2F1871F2"/>
    <w:rsid w:val="2F294853"/>
    <w:rsid w:val="2FC14D08"/>
    <w:rsid w:val="30E359F4"/>
    <w:rsid w:val="32C46370"/>
    <w:rsid w:val="35286DA6"/>
    <w:rsid w:val="38921940"/>
    <w:rsid w:val="3D4A7245"/>
    <w:rsid w:val="3E692474"/>
    <w:rsid w:val="3E834198"/>
    <w:rsid w:val="3F4D0D7F"/>
    <w:rsid w:val="41F371BC"/>
    <w:rsid w:val="4273183E"/>
    <w:rsid w:val="446E5366"/>
    <w:rsid w:val="456D2AD8"/>
    <w:rsid w:val="467D220C"/>
    <w:rsid w:val="468E71F3"/>
    <w:rsid w:val="472C02DC"/>
    <w:rsid w:val="4A4D08B6"/>
    <w:rsid w:val="4BB54F8B"/>
    <w:rsid w:val="4F2F55FE"/>
    <w:rsid w:val="4FFF3606"/>
    <w:rsid w:val="50270C90"/>
    <w:rsid w:val="50356190"/>
    <w:rsid w:val="50A20A38"/>
    <w:rsid w:val="51475EBB"/>
    <w:rsid w:val="54D44304"/>
    <w:rsid w:val="55072DFB"/>
    <w:rsid w:val="55167E68"/>
    <w:rsid w:val="557F18F4"/>
    <w:rsid w:val="55E447C3"/>
    <w:rsid w:val="57251378"/>
    <w:rsid w:val="57D7577C"/>
    <w:rsid w:val="57F43A1C"/>
    <w:rsid w:val="5B2F104F"/>
    <w:rsid w:val="5BFE1262"/>
    <w:rsid w:val="5E085CFB"/>
    <w:rsid w:val="5EC66559"/>
    <w:rsid w:val="60C55E6C"/>
    <w:rsid w:val="62576867"/>
    <w:rsid w:val="636D2DE7"/>
    <w:rsid w:val="6404319E"/>
    <w:rsid w:val="64381403"/>
    <w:rsid w:val="65D24C58"/>
    <w:rsid w:val="6687052B"/>
    <w:rsid w:val="67EC6F4F"/>
    <w:rsid w:val="680375CC"/>
    <w:rsid w:val="68F17FDC"/>
    <w:rsid w:val="6A8B3349"/>
    <w:rsid w:val="6A9B6989"/>
    <w:rsid w:val="6DD2217A"/>
    <w:rsid w:val="6E683E61"/>
    <w:rsid w:val="6FAE51B6"/>
    <w:rsid w:val="701E6454"/>
    <w:rsid w:val="7107423D"/>
    <w:rsid w:val="74790878"/>
    <w:rsid w:val="76654E07"/>
    <w:rsid w:val="76E67429"/>
    <w:rsid w:val="78FB4CF4"/>
    <w:rsid w:val="79E32EAD"/>
    <w:rsid w:val="7B4A3932"/>
    <w:rsid w:val="7C90559F"/>
    <w:rsid w:val="7D875343"/>
    <w:rsid w:val="7EF7C949"/>
    <w:rsid w:val="E54F38A2"/>
    <w:rsid w:val="FFAFB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400" w:lineRule="exact"/>
      <w:jc w:val="center"/>
      <w:outlineLvl w:val="0"/>
    </w:pPr>
    <w:rPr>
      <w:rFonts w:ascii="Times New Roman" w:hAnsi="Times New Roman" w:eastAsia="宋体"/>
      <w:b/>
      <w:kern w:val="44"/>
      <w:sz w:val="24"/>
    </w:rPr>
  </w:style>
  <w:style w:type="paragraph" w:styleId="3">
    <w:name w:val="heading 2"/>
    <w:basedOn w:val="1"/>
    <w:next w:val="1"/>
    <w:unhideWhenUsed/>
    <w:qFormat/>
    <w:uiPriority w:val="0"/>
    <w:pPr>
      <w:keepNext/>
      <w:keepLines/>
      <w:spacing w:line="400" w:lineRule="exact"/>
      <w:jc w:val="left"/>
      <w:outlineLvl w:val="1"/>
    </w:pPr>
    <w:rPr>
      <w:rFonts w:ascii="Arial" w:hAnsi="Arial" w:eastAsia="宋体"/>
      <w:b/>
    </w:rPr>
  </w:style>
  <w:style w:type="paragraph" w:styleId="4">
    <w:name w:val="heading 3"/>
    <w:basedOn w:val="1"/>
    <w:next w:val="1"/>
    <w:unhideWhenUsed/>
    <w:qFormat/>
    <w:uiPriority w:val="0"/>
    <w:pPr>
      <w:keepNext/>
      <w:keepLines/>
      <w:spacing w:line="400" w:lineRule="exact"/>
      <w:jc w:val="left"/>
      <w:outlineLvl w:val="2"/>
    </w:pPr>
    <w:rPr>
      <w:rFonts w:ascii="Times New Roman" w:hAnsi="Times New Roman" w:eastAsia="宋体"/>
      <w:b/>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481</Words>
  <Characters>520</Characters>
  <Lines>4</Lines>
  <Paragraphs>1</Paragraphs>
  <TotalTime>0</TotalTime>
  <ScaleCrop>false</ScaleCrop>
  <LinksUpToDate>false</LinksUpToDate>
  <CharactersWithSpaces>1000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2022-08-17T22:47:00Z</dcterms:created>
  <dc:creator>Administrator</dc:creator>
  <cp:lastModifiedBy>孙逸菲</cp:lastModifiedBy>
  <dcterms:modified xsi:type="dcterms:W3CDTF">2026-01-30T02:48:50Z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156FBEF45315492997A928A82EDAEB25</vt:lpwstr>
  </property>
  <property fmtid="{D5CDD505-2E9C-101B-9397-08002B2CF9AE}" pid="3" name="KSOProductBuildVer">
    <vt:lpwstr>2052-11.8.2.8411</vt:lpwstr>
  </property>
</Properties>
</file>