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东莞银行“银信通”业务服务条款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东莞银行</w:t>
      </w:r>
      <w:r>
        <w:rPr>
          <w:rFonts w:hint="eastAsia" w:ascii="仿宋_GB2312" w:hAnsi="仿宋_GB2312" w:eastAsia="仿宋_GB2312" w:cs="仿宋_GB2312"/>
          <w:sz w:val="32"/>
          <w:szCs w:val="32"/>
          <w:lang w:val="en-US" w:eastAsia="zh-CN"/>
        </w:rPr>
        <w:t>股份有限公司（下称“东莞银行”）</w:t>
      </w:r>
      <w:r>
        <w:rPr>
          <w:rFonts w:hint="eastAsia" w:ascii="仿宋_GB2312" w:hAnsi="仿宋_GB2312" w:eastAsia="仿宋_GB2312" w:cs="仿宋_GB2312"/>
          <w:sz w:val="32"/>
          <w:szCs w:val="32"/>
        </w:rPr>
        <w:t>“银信通”业务(以下简称“银信通”)是东莞银行为便于客户及时掌握账户变动情况，根据客户的要求，通过手机短信的方式，将账户变动的信息发送到客户手机的服务。</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 xml:space="preserve">第一条 </w:t>
      </w:r>
      <w:r>
        <w:rPr>
          <w:rFonts w:hint="eastAsia" w:ascii="仿宋_GB2312" w:hAnsi="仿宋_GB2312" w:eastAsia="仿宋_GB2312" w:cs="仿宋_GB2312"/>
          <w:sz w:val="32"/>
          <w:szCs w:val="32"/>
        </w:rPr>
        <w:t>“银信通”服务适</w:t>
      </w:r>
      <w:bookmarkStart w:id="0" w:name="_GoBack"/>
      <w:bookmarkEnd w:id="0"/>
      <w:r>
        <w:rPr>
          <w:rFonts w:hint="eastAsia" w:ascii="仿宋_GB2312" w:hAnsi="仿宋_GB2312" w:eastAsia="仿宋_GB2312" w:cs="仿宋_GB2312"/>
          <w:sz w:val="32"/>
          <w:szCs w:val="32"/>
        </w:rPr>
        <w:t>用于全国的中国移动、中国联通和中国电信移动电话用户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成功申请的，将在 24 小时内开通短信服务。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    第二条 </w:t>
      </w:r>
      <w:r>
        <w:rPr>
          <w:rFonts w:hint="eastAsia" w:ascii="仿宋_GB2312" w:hAnsi="仿宋_GB2312" w:eastAsia="仿宋_GB2312" w:cs="仿宋_GB2312"/>
          <w:sz w:val="32"/>
          <w:szCs w:val="32"/>
        </w:rPr>
        <w:t>个人客户申请、变更和终止“银信通”服务</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rPr>
        <w:t>持有效身份证件和存折/卡到东莞银行任一营业网点办理(凭印鉴支取的，必须到原开户网点办理);单位客户申请、变更和终止“银信通”服务的，</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rPr>
        <w:t>提供单位同意开办该项服务的证明、预留银行印鉴和代办人有效身份证件到开户行办理;客户也可通过东莞银行网上银行、手机银行、现金管理平台等方式申请、变更和终止“银信通”服务，但须按照东莞银行要求进行身份认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 xml:space="preserve">第三条 </w:t>
      </w:r>
      <w:r>
        <w:rPr>
          <w:rFonts w:hint="eastAsia" w:ascii="仿宋_GB2312" w:hAnsi="仿宋_GB2312" w:eastAsia="仿宋_GB2312" w:cs="仿宋_GB2312"/>
          <w:sz w:val="32"/>
          <w:szCs w:val="32"/>
        </w:rPr>
        <w:t>每个个人账户最多可开通五个手机号码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每个单位</w:t>
      </w:r>
      <w:r>
        <w:rPr>
          <w:rFonts w:hint="eastAsia" w:ascii="仿宋_GB2312" w:hAnsi="仿宋_GB2312" w:eastAsia="仿宋_GB2312" w:cs="仿宋_GB2312"/>
          <w:sz w:val="32"/>
          <w:szCs w:val="32"/>
        </w:rPr>
        <w:t>账户最多可开通</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个手机号码。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如签约存折/卡因挂失、损坏等情况换领新存折/卡的，新存折/卡将按原存折/卡的约定继续使用“银信通”服务和付费。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 xml:space="preserve">第五条 </w:t>
      </w:r>
      <w:r>
        <w:rPr>
          <w:rFonts w:hint="eastAsia" w:ascii="仿宋_GB2312" w:hAnsi="仿宋_GB2312" w:eastAsia="仿宋_GB2312" w:cs="仿宋_GB2312"/>
          <w:sz w:val="32"/>
          <w:szCs w:val="32"/>
        </w:rPr>
        <w:t>“银信通”签约账户办理销户时，须先终止“银信通”服务，对于欠费的，亦须先结清所欠服务费。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“银信通”信息仅作为账户变动的参考依据，客户账户变动实际情况应以</w:t>
      </w:r>
      <w:r>
        <w:rPr>
          <w:rFonts w:hint="eastAsia" w:ascii="仿宋_GB2312" w:hAnsi="仿宋_GB2312" w:eastAsia="仿宋_GB2312" w:cs="仿宋_GB2312"/>
          <w:b/>
          <w:bCs/>
          <w:sz w:val="32"/>
          <w:szCs w:val="32"/>
          <w:lang w:val="en-US" w:eastAsia="zh-CN"/>
        </w:rPr>
        <w:t>东莞</w:t>
      </w:r>
      <w:r>
        <w:rPr>
          <w:rFonts w:hint="eastAsia" w:ascii="仿宋_GB2312" w:hAnsi="仿宋_GB2312" w:eastAsia="仿宋_GB2312" w:cs="仿宋_GB2312"/>
          <w:b/>
          <w:bCs/>
          <w:sz w:val="32"/>
          <w:szCs w:val="32"/>
        </w:rPr>
        <w:t>银行记录为准</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东莞银行对“银信通”服务实行包月收费方式，收费标准详见东莞银行公告信息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东莞</w:t>
      </w:r>
      <w:r>
        <w:rPr>
          <w:rFonts w:hint="eastAsia" w:ascii="仿宋_GB2312" w:hAnsi="仿宋_GB2312" w:eastAsia="仿宋_GB2312" w:cs="仿宋_GB2312"/>
          <w:sz w:val="32"/>
          <w:szCs w:val="32"/>
        </w:rPr>
        <w:t>银行于每月从客户指定的活期人民币付费账户(无指定付费账户的，以签约账户付费) 收取当月的服务费。</w:t>
      </w:r>
      <w:r>
        <w:rPr>
          <w:rFonts w:hint="eastAsia" w:ascii="仿宋_GB2312" w:hAnsi="仿宋_GB2312" w:eastAsia="仿宋_GB2312" w:cs="仿宋_GB2312"/>
          <w:b/>
          <w:bCs/>
          <w:sz w:val="32"/>
          <w:szCs w:val="32"/>
        </w:rPr>
        <w:t>如客户终止“银信通”服务的，东莞银行不退回客户已支付的“银信通” 服务费。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客户未按要求支付“银信通”服务费的，东莞银行有权终止提供相应的服务。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东莞银行有权修改“银信通”服务收费标准，收费标准更改信息将通过营业网点、官方网站、官方微信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短信</w:t>
      </w:r>
      <w:r>
        <w:rPr>
          <w:rFonts w:hint="eastAsia" w:ascii="仿宋_GB2312" w:hAnsi="仿宋_GB2312" w:eastAsia="仿宋_GB2312" w:cs="仿宋_GB2312"/>
          <w:b/>
          <w:bCs/>
          <w:sz w:val="32"/>
          <w:szCs w:val="32"/>
        </w:rPr>
        <w:t>等方式进行通知，客户有选择继续或终止使用“银信通”服务的权利，若客户不终止“银信通”服务，东莞银行将按新的收费标准收费</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东莞银行可根据业务发展需要，变动“银信通”服务内容、方式和范围，并将上述变动通过营业网点、官方网站、官方微信等方式进行通知，客户可根据实际情况选择是否继续使用。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第十一条 出现下列情况之一，造成已签约客户享受不到“银信通”服务或其他损失的，东莞银行不承担任何责任。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一)由于签约客户手机关机、故障等个人原因或由于中国移动、中国联通、中国电信等通讯公司因网络或系统故障等原因导致签约客户未能接收或延迟接收“银信通”服务系统发送的短信，或虽能接收但不能显示相关信息的。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(二)由于不可抗力导致签约客户未能接收或延迟接收“银信通”服务系统发送的短信，或虽然接收但不能显示相关信息的。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(三)签约客户对接收“银信通”服务的手机、签约扣款账号、签约服务账号、账户交易短信或支付密码等未尽妥善保管或保密义务的。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(四)签约客户本人或伙同他人有欺诈行为或其他不诚信行为的。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(五)签约客户的扣款账号、服务账号、短信发送指定电话号码等签约资料发生变更时未及时向东莞银行办理变更的。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(六)签约客户未按要求支付东莞银行“银信通”服务费的。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(七)签约客户已取消“银信通”服务的。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(八)签约客户更换手机号码</w:t>
      </w:r>
      <w:r>
        <w:rPr>
          <w:rFonts w:hint="eastAsia" w:ascii="仿宋_GB2312" w:hAnsi="仿宋_GB2312" w:eastAsia="仿宋_GB2312" w:cs="仿宋_GB2312"/>
          <w:b/>
          <w:bCs/>
          <w:sz w:val="32"/>
          <w:szCs w:val="32"/>
          <w:lang w:eastAsia="zh-CN"/>
        </w:rPr>
        <w:t>或</w:t>
      </w:r>
      <w:r>
        <w:rPr>
          <w:rFonts w:hint="eastAsia" w:ascii="仿宋_GB2312" w:hAnsi="仿宋_GB2312" w:eastAsia="仿宋_GB2312" w:cs="仿宋_GB2312"/>
          <w:b/>
          <w:bCs/>
          <w:sz w:val="32"/>
          <w:szCs w:val="32"/>
          <w:lang w:val="en-US" w:eastAsia="zh-CN"/>
        </w:rPr>
        <w:t>携号转网后</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未</w:t>
      </w:r>
      <w:r>
        <w:rPr>
          <w:rFonts w:hint="eastAsia" w:ascii="仿宋_GB2312" w:hAnsi="仿宋_GB2312" w:eastAsia="仿宋_GB2312" w:cs="仿宋_GB2312"/>
          <w:b/>
          <w:bCs/>
          <w:sz w:val="32"/>
          <w:szCs w:val="32"/>
          <w:lang w:eastAsia="zh-CN"/>
        </w:rPr>
        <w:t>及时通知</w:t>
      </w:r>
      <w:r>
        <w:rPr>
          <w:rFonts w:hint="eastAsia" w:ascii="仿宋_GB2312" w:hAnsi="仿宋_GB2312" w:eastAsia="仿宋_GB2312" w:cs="仿宋_GB2312"/>
          <w:b/>
          <w:bCs/>
          <w:sz w:val="32"/>
          <w:szCs w:val="32"/>
          <w:lang w:val="en-US" w:eastAsia="zh-CN"/>
        </w:rPr>
        <w:t>东莞银行</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导致签约客户未能接收</w:t>
      </w:r>
      <w:r>
        <w:rPr>
          <w:rFonts w:hint="eastAsia" w:ascii="仿宋_GB2312" w:hAnsi="仿宋_GB2312" w:eastAsia="仿宋_GB2312" w:cs="仿宋_GB2312"/>
          <w:b/>
          <w:bCs/>
          <w:sz w:val="32"/>
          <w:szCs w:val="32"/>
          <w:lang w:eastAsia="zh-CN"/>
        </w:rPr>
        <w:t>短信的。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(九)签约客户携号转网</w:t>
      </w:r>
      <w:r>
        <w:rPr>
          <w:rFonts w:hint="eastAsia" w:ascii="仿宋_GB2312" w:hAnsi="仿宋_GB2312" w:eastAsia="仿宋_GB2312" w:cs="仿宋_GB2312"/>
          <w:b/>
          <w:bCs/>
          <w:sz w:val="32"/>
          <w:szCs w:val="32"/>
          <w:lang w:eastAsia="zh-CN"/>
        </w:rPr>
        <w:t>后，</w:t>
      </w:r>
      <w:r>
        <w:rPr>
          <w:rFonts w:hint="eastAsia" w:ascii="仿宋_GB2312" w:hAnsi="仿宋_GB2312" w:eastAsia="仿宋_GB2312" w:cs="仿宋_GB2312"/>
          <w:b/>
          <w:bCs/>
          <w:sz w:val="32"/>
          <w:szCs w:val="32"/>
          <w:lang w:val="en-US" w:eastAsia="zh-CN"/>
        </w:rPr>
        <w:t>由于</w:t>
      </w:r>
      <w:r>
        <w:rPr>
          <w:rFonts w:hint="eastAsia" w:ascii="仿宋_GB2312" w:hAnsi="仿宋_GB2312" w:eastAsia="仿宋_GB2312" w:cs="仿宋_GB2312"/>
          <w:b/>
          <w:bCs/>
          <w:sz w:val="32"/>
          <w:szCs w:val="32"/>
        </w:rPr>
        <w:t>中国移动、中国联通、中国电信等通讯公司</w:t>
      </w:r>
      <w:r>
        <w:rPr>
          <w:rFonts w:hint="eastAsia" w:ascii="仿宋_GB2312" w:hAnsi="仿宋_GB2312" w:eastAsia="仿宋_GB2312" w:cs="仿宋_GB2312"/>
          <w:b/>
          <w:bCs/>
          <w:sz w:val="32"/>
          <w:szCs w:val="32"/>
          <w:lang w:eastAsia="zh-CN"/>
        </w:rPr>
        <w:t>原因致使</w:t>
      </w:r>
      <w:r>
        <w:rPr>
          <w:rFonts w:hint="eastAsia" w:ascii="仿宋_GB2312" w:hAnsi="仿宋_GB2312" w:eastAsia="仿宋_GB2312" w:cs="仿宋_GB2312"/>
          <w:b/>
          <w:bCs/>
          <w:sz w:val="32"/>
          <w:szCs w:val="32"/>
          <w:lang w:val="en-US" w:eastAsia="zh-CN"/>
        </w:rPr>
        <w:t>签约</w:t>
      </w:r>
      <w:r>
        <w:rPr>
          <w:rFonts w:hint="eastAsia" w:ascii="仿宋_GB2312" w:hAnsi="仿宋_GB2312" w:eastAsia="仿宋_GB2312" w:cs="仿宋_GB2312"/>
          <w:b/>
          <w:bCs/>
          <w:sz w:val="32"/>
          <w:szCs w:val="32"/>
          <w:lang w:eastAsia="zh-CN"/>
        </w:rPr>
        <w:t>客户</w:t>
      </w:r>
      <w:r>
        <w:rPr>
          <w:rFonts w:hint="eastAsia" w:ascii="仿宋_GB2312" w:hAnsi="仿宋_GB2312" w:eastAsia="仿宋_GB2312" w:cs="仿宋_GB2312"/>
          <w:b/>
          <w:bCs/>
          <w:sz w:val="32"/>
          <w:szCs w:val="32"/>
          <w:lang w:val="en-US" w:eastAsia="zh-CN"/>
        </w:rPr>
        <w:t>未能接收</w:t>
      </w:r>
      <w:r>
        <w:rPr>
          <w:rFonts w:hint="eastAsia" w:ascii="仿宋_GB2312" w:hAnsi="仿宋_GB2312" w:eastAsia="仿宋_GB2312" w:cs="仿宋_GB2312"/>
          <w:b/>
          <w:bCs/>
          <w:sz w:val="32"/>
          <w:szCs w:val="32"/>
          <w:lang w:eastAsia="zh-CN"/>
        </w:rPr>
        <w:t>短信的。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(十)签约客户通过手机设置或</w:t>
      </w:r>
      <w:r>
        <w:rPr>
          <w:rFonts w:hint="eastAsia" w:ascii="仿宋_GB2312" w:hAnsi="仿宋_GB2312" w:eastAsia="仿宋_GB2312" w:cs="仿宋_GB2312"/>
          <w:b/>
          <w:bCs/>
          <w:sz w:val="32"/>
          <w:szCs w:val="32"/>
        </w:rPr>
        <w:t>中国移动、中国联通、中国电信等通讯公司</w:t>
      </w:r>
      <w:r>
        <w:rPr>
          <w:rFonts w:hint="eastAsia" w:ascii="仿宋_GB2312" w:hAnsi="仿宋_GB2312" w:eastAsia="仿宋_GB2312" w:cs="仿宋_GB2312"/>
          <w:b/>
          <w:bCs/>
          <w:sz w:val="32"/>
          <w:szCs w:val="32"/>
          <w:lang w:val="en-US" w:eastAsia="zh-CN"/>
        </w:rPr>
        <w:t>相关功能转移短信收取或延迟收取的。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十一</w:t>
      </w:r>
      <w:r>
        <w:rPr>
          <w:rFonts w:hint="eastAsia" w:ascii="仿宋_GB2312" w:hAnsi="仿宋_GB2312" w:eastAsia="仿宋_GB2312" w:cs="仿宋_GB2312"/>
          <w:b/>
          <w:bCs/>
          <w:sz w:val="32"/>
          <w:szCs w:val="32"/>
        </w:rPr>
        <w:t>)其他非因东莞银行过错导致的情形。</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sz w:val="32"/>
          <w:szCs w:val="32"/>
          <w:lang w:val="en-US" w:eastAsia="zh-CN"/>
        </w:rPr>
        <w:t>客户应自行保管签约手机号码，如不再使用相关手机号码，应及时在东莞银行解约该手机号码签约的“银信通”业务。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客户应保证其提供的资料真实、有效，如有变更，应按照</w:t>
      </w:r>
      <w:r>
        <w:rPr>
          <w:rFonts w:hint="eastAsia" w:ascii="仿宋_GB2312" w:hAnsi="仿宋_GB2312" w:eastAsia="仿宋_GB2312" w:cs="仿宋_GB2312"/>
          <w:sz w:val="32"/>
          <w:szCs w:val="32"/>
          <w:lang w:val="en-US" w:eastAsia="zh-CN"/>
        </w:rPr>
        <w:t>东莞</w:t>
      </w:r>
      <w:r>
        <w:rPr>
          <w:rFonts w:hint="eastAsia" w:ascii="仿宋_GB2312" w:hAnsi="仿宋_GB2312" w:eastAsia="仿宋_GB2312" w:cs="仿宋_GB2312"/>
          <w:sz w:val="32"/>
          <w:szCs w:val="32"/>
        </w:rPr>
        <w:t>银行有关规定及时通知</w:t>
      </w:r>
      <w:r>
        <w:rPr>
          <w:rFonts w:hint="eastAsia" w:ascii="仿宋_GB2312" w:hAnsi="仿宋_GB2312" w:eastAsia="仿宋_GB2312" w:cs="仿宋_GB2312"/>
          <w:sz w:val="32"/>
          <w:szCs w:val="32"/>
          <w:lang w:val="en-US" w:eastAsia="zh-CN"/>
        </w:rPr>
        <w:t>东莞</w:t>
      </w:r>
      <w:r>
        <w:rPr>
          <w:rFonts w:hint="eastAsia" w:ascii="仿宋_GB2312" w:hAnsi="仿宋_GB2312" w:eastAsia="仿宋_GB2312" w:cs="仿宋_GB2312"/>
          <w:sz w:val="32"/>
          <w:szCs w:val="32"/>
        </w:rPr>
        <w:t>银行。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客户应</w:t>
      </w:r>
      <w:r>
        <w:rPr>
          <w:rFonts w:hint="eastAsia" w:ascii="仿宋_GB2312" w:hAnsi="仿宋_GB2312" w:eastAsia="仿宋_GB2312" w:cs="仿宋_GB2312"/>
          <w:b w:val="0"/>
          <w:bCs w:val="0"/>
          <w:sz w:val="32"/>
          <w:szCs w:val="32"/>
          <w:lang w:val="en-US"/>
        </w:rPr>
        <w:t>积极配合</w:t>
      </w:r>
      <w:r>
        <w:rPr>
          <w:rFonts w:hint="eastAsia" w:ascii="仿宋_GB2312" w:hAnsi="仿宋_GB2312" w:eastAsia="仿宋_GB2312" w:cs="仿宋_GB2312"/>
          <w:b w:val="0"/>
          <w:bCs w:val="0"/>
          <w:sz w:val="32"/>
          <w:szCs w:val="32"/>
          <w:lang w:val="en-US" w:eastAsia="zh-CN"/>
        </w:rPr>
        <w:t>东莞银行</w:t>
      </w:r>
      <w:r>
        <w:rPr>
          <w:rFonts w:hint="eastAsia" w:ascii="仿宋_GB2312" w:hAnsi="仿宋_GB2312" w:eastAsia="仿宋_GB2312" w:cs="仿宋_GB2312"/>
          <w:b w:val="0"/>
          <w:bCs w:val="0"/>
          <w:sz w:val="32"/>
          <w:szCs w:val="32"/>
          <w:lang w:val="en-US"/>
        </w:rPr>
        <w:t>开展客户身份识别、客户身份及交易背景调查等各项反洗钱工作。</w:t>
      </w:r>
      <w:r>
        <w:rPr>
          <w:rFonts w:hint="eastAsia" w:ascii="仿宋_GB2312" w:hAnsi="仿宋_GB2312" w:eastAsia="仿宋_GB2312" w:cs="仿宋_GB2312"/>
          <w:b w:val="0"/>
          <w:bCs w:val="0"/>
          <w:sz w:val="32"/>
          <w:szCs w:val="32"/>
          <w:lang w:val="en-US" w:eastAsia="zh-CN"/>
        </w:rPr>
        <w:t>在工商注册信息、状态及客户信息发生变更时，及时到东莞银行办理信息更新或业务变更手续，</w:t>
      </w:r>
      <w:r>
        <w:rPr>
          <w:rFonts w:hint="eastAsia" w:ascii="仿宋_GB2312" w:hAnsi="仿宋_GB2312" w:eastAsia="仿宋_GB2312" w:cs="仿宋_GB2312"/>
          <w:sz w:val="32"/>
          <w:szCs w:val="32"/>
          <w:lang w:val="en-US" w:eastAsia="zh-CN"/>
        </w:rPr>
        <w:t>并承诺不存在涉嫌洗钱罪及其上游犯罪等行为，严格按照国家反洗钱相关法律法规执行各项业务，不参与任何与洗钱相关的事项，且客户及客户受益所有人不存在以下情况：（1）违反反洗钱、制裁法律法规或监管文件；（2）有信息来源显示其为恐怖分子或涉嫌从事恐怖融资等活动；（3）因涉嫌洗钱、金融欺诈、腐败、逃税、贩毒或其他犯罪行为被境内外有权机关提起诉讼或定罪，或正在从事洗钱、金融欺诈、腐败、逃税、贩毒、其他犯罪行为；（4）设立赌场或从事赌博活动的机构以及其他博彩相关行业；（5）</w:t>
      </w:r>
      <w:r>
        <w:rPr>
          <w:rFonts w:hint="eastAsia" w:ascii="仿宋_GB2312" w:hAnsi="仿宋_GB2312" w:eastAsia="仿宋_GB2312" w:cs="仿宋_GB2312"/>
          <w:sz w:val="32"/>
          <w:szCs w:val="32"/>
          <w:lang w:val="en-US" w:eastAsia="zh-Hans"/>
        </w:rPr>
        <w:t>在</w:t>
      </w:r>
      <w:r>
        <w:rPr>
          <w:rFonts w:hint="eastAsia" w:ascii="仿宋_GB2312" w:hAnsi="仿宋_GB2312" w:eastAsia="仿宋_GB2312" w:cs="仿宋_GB2312"/>
          <w:sz w:val="32"/>
          <w:szCs w:val="32"/>
          <w:lang w:val="en-US" w:eastAsia="zh-CN"/>
        </w:rPr>
        <w:t>中国境外注册武器制造、销售企业；（6）拒绝提供身份证件，提交虚假身份证件，或冒用他人身份证件；（7）拒绝配合提供东莞银行所要求的身份信息，影响东莞银行对客户身份真实性判断；（8）因涉嫌洗钱行为</w:t>
      </w:r>
      <w:r>
        <w:rPr>
          <w:rFonts w:hint="eastAsia" w:ascii="仿宋_GB2312" w:hAnsi="仿宋_GB2312" w:eastAsia="仿宋_GB2312" w:cs="仿宋_GB2312"/>
          <w:kern w:val="2"/>
          <w:sz w:val="32"/>
          <w:szCs w:val="32"/>
          <w:lang w:val="en-US" w:eastAsia="zh-CN" w:bidi="ar"/>
        </w:rPr>
        <w:t>或</w:t>
      </w:r>
      <w:r>
        <w:rPr>
          <w:rFonts w:hint="eastAsia" w:ascii="仿宋_GB2312" w:hAnsi="仿宋_GB2312" w:eastAsia="仿宋_GB2312" w:cs="仿宋_GB2312"/>
          <w:sz w:val="32"/>
          <w:szCs w:val="32"/>
          <w:lang w:val="en-US" w:eastAsia="zh-CN"/>
        </w:rPr>
        <w:t>法律法规禁止的其他行为被中国人民银行、司法机关或其他行政机关调查、查询或关注</w:t>
      </w:r>
      <w:r>
        <w:rPr>
          <w:rFonts w:hint="eastAsia" w:ascii="仿宋_GB2312" w:hAnsi="仿宋_GB2312" w:eastAsia="仿宋_GB2312" w:cs="仿宋_GB2312"/>
          <w:sz w:val="32"/>
          <w:szCs w:val="32"/>
          <w:lang w:val="en-US" w:eastAsia="zh"/>
        </w:rPr>
        <w:t>；</w:t>
      </w:r>
      <w:r>
        <w:rPr>
          <w:rFonts w:hint="eastAsia" w:ascii="仿宋_GB2312" w:hAnsi="仿宋_GB2312" w:eastAsia="仿宋_GB2312" w:cs="仿宋_GB2312"/>
          <w:kern w:val="2"/>
          <w:sz w:val="32"/>
          <w:szCs w:val="32"/>
          <w:lang w:val="en-US" w:eastAsia="zh-CN" w:bidi="ar"/>
        </w:rPr>
        <w:t>（9）</w:t>
      </w:r>
      <w:r>
        <w:rPr>
          <w:rFonts w:hint="eastAsia" w:ascii="仿宋_GB2312" w:hAnsi="仿宋_GB2312" w:eastAsia="仿宋_GB2312" w:cs="仿宋_GB2312"/>
          <w:kern w:val="2"/>
          <w:sz w:val="32"/>
          <w:szCs w:val="32"/>
          <w:lang w:val="en-US" w:eastAsia="zh" w:bidi="ar"/>
        </w:rPr>
        <w:t>客户</w:t>
      </w:r>
      <w:r>
        <w:rPr>
          <w:rFonts w:hint="eastAsia" w:ascii="仿宋_GB2312" w:hAnsi="仿宋_GB2312" w:eastAsia="仿宋_GB2312" w:cs="仿宋_GB2312"/>
          <w:kern w:val="2"/>
          <w:sz w:val="32"/>
          <w:szCs w:val="32"/>
          <w:lang w:val="en-US" w:eastAsia="zh-CN" w:bidi="ar"/>
        </w:rPr>
        <w:t>交易出现异常，或交易与</w:t>
      </w:r>
      <w:r>
        <w:rPr>
          <w:rFonts w:hint="eastAsia" w:ascii="仿宋_GB2312" w:hAnsi="仿宋_GB2312" w:eastAsia="仿宋_GB2312" w:cs="仿宋_GB2312"/>
          <w:kern w:val="2"/>
          <w:sz w:val="32"/>
          <w:szCs w:val="32"/>
          <w:lang w:val="en-US" w:eastAsia="zh" w:bidi="ar"/>
        </w:rPr>
        <w:t>客户</w:t>
      </w:r>
      <w:r>
        <w:rPr>
          <w:rFonts w:hint="eastAsia" w:ascii="仿宋_GB2312" w:hAnsi="仿宋_GB2312" w:eastAsia="仿宋_GB2312" w:cs="仿宋_GB2312"/>
          <w:kern w:val="2"/>
          <w:sz w:val="32"/>
          <w:szCs w:val="32"/>
          <w:lang w:val="en-US" w:eastAsia="zh-CN" w:bidi="ar"/>
        </w:rPr>
        <w:t>身份背景不符。</w:t>
      </w:r>
      <w:r>
        <w:rPr>
          <w:rFonts w:hint="eastAsia" w:ascii="仿宋_GB2312" w:hAnsi="仿宋_GB2312" w:eastAsia="仿宋_GB2312" w:cs="仿宋_GB2312"/>
          <w:sz w:val="32"/>
          <w:szCs w:val="32"/>
          <w:lang w:val="en-US" w:eastAsia="zh-CN"/>
        </w:rPr>
        <w:t xml:space="preserve">客户如发生以上情况，东莞银行有权限制、暂停或终止本协议服务或全部金融服务，且无须承担任何责任。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如客户发现收到的账户变动信息与本人的实际交易不符，应尽快告知</w:t>
      </w:r>
      <w:r>
        <w:rPr>
          <w:rFonts w:hint="eastAsia" w:ascii="仿宋_GB2312" w:hAnsi="仿宋_GB2312" w:eastAsia="仿宋_GB2312" w:cs="仿宋_GB2312"/>
          <w:sz w:val="32"/>
          <w:szCs w:val="32"/>
          <w:lang w:val="en-US" w:eastAsia="zh-CN"/>
        </w:rPr>
        <w:t>东莞</w:t>
      </w:r>
      <w:r>
        <w:rPr>
          <w:rFonts w:hint="eastAsia" w:ascii="仿宋_GB2312" w:hAnsi="仿宋_GB2312" w:eastAsia="仿宋_GB2312" w:cs="仿宋_GB2312"/>
          <w:sz w:val="32"/>
          <w:szCs w:val="32"/>
        </w:rPr>
        <w:t>银行，并应说明错误发生的可能原因、有关的账号、金额等情况。</w:t>
      </w:r>
      <w:r>
        <w:rPr>
          <w:rFonts w:hint="eastAsia" w:ascii="仿宋_GB2312" w:hAnsi="仿宋_GB2312" w:eastAsia="仿宋_GB2312" w:cs="仿宋_GB2312"/>
          <w:sz w:val="32"/>
          <w:szCs w:val="32"/>
          <w:lang w:val="en-US" w:eastAsia="zh-CN"/>
        </w:rPr>
        <w:t>东莞</w:t>
      </w:r>
      <w:r>
        <w:rPr>
          <w:rFonts w:hint="eastAsia" w:ascii="仿宋_GB2312" w:hAnsi="仿宋_GB2312" w:eastAsia="仿宋_GB2312" w:cs="仿宋_GB2312"/>
          <w:sz w:val="32"/>
          <w:szCs w:val="32"/>
        </w:rPr>
        <w:t>银行接到通知后应尽快调查并告知客户受理情况。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客户通过东莞银行营业网点申请“银信通”服务的，本</w:t>
      </w:r>
      <w:r>
        <w:rPr>
          <w:rFonts w:hint="eastAsia" w:ascii="仿宋_GB2312" w:hAnsi="仿宋_GB2312" w:eastAsia="仿宋_GB2312" w:cs="仿宋_GB2312"/>
          <w:sz w:val="32"/>
          <w:szCs w:val="32"/>
          <w:lang w:val="en-US" w:eastAsia="zh-CN"/>
        </w:rPr>
        <w:t>服务条款</w:t>
      </w:r>
      <w:r>
        <w:rPr>
          <w:rFonts w:hint="eastAsia" w:ascii="仿宋_GB2312" w:hAnsi="仿宋_GB2312" w:eastAsia="仿宋_GB2312" w:cs="仿宋_GB2312"/>
          <w:sz w:val="32"/>
          <w:szCs w:val="32"/>
        </w:rPr>
        <w:t>经客户在相关申请表上签字</w:t>
      </w:r>
      <w:r>
        <w:rPr>
          <w:rFonts w:hint="eastAsia" w:ascii="仿宋_GB2312" w:hAnsi="仿宋_GB2312" w:eastAsia="仿宋_GB2312" w:cs="仿宋_GB2312"/>
          <w:sz w:val="32"/>
          <w:szCs w:val="32"/>
          <w:lang w:val="en-US" w:eastAsia="zh-CN"/>
        </w:rPr>
        <w:t>之日起</w:t>
      </w:r>
      <w:r>
        <w:rPr>
          <w:rFonts w:hint="eastAsia" w:ascii="仿宋_GB2312" w:hAnsi="仿宋_GB2312" w:eastAsia="仿宋_GB2312" w:cs="仿宋_GB2312"/>
          <w:sz w:val="32"/>
          <w:szCs w:val="32"/>
        </w:rPr>
        <w:t>生效。如通过东莞银行网上银行、手机银行、现金管理平台等方式申请“银信通”服务的，本</w:t>
      </w:r>
      <w:r>
        <w:rPr>
          <w:rFonts w:hint="eastAsia" w:ascii="仿宋_GB2312" w:hAnsi="仿宋_GB2312" w:eastAsia="仿宋_GB2312" w:cs="仿宋_GB2312"/>
          <w:sz w:val="32"/>
          <w:szCs w:val="32"/>
          <w:lang w:val="en-US" w:eastAsia="zh-CN"/>
        </w:rPr>
        <w:t>服务条款</w:t>
      </w:r>
      <w:r>
        <w:rPr>
          <w:rFonts w:hint="eastAsia" w:ascii="仿宋_GB2312" w:hAnsi="仿宋_GB2312" w:eastAsia="仿宋_GB2312" w:cs="仿宋_GB2312"/>
          <w:sz w:val="32"/>
          <w:szCs w:val="32"/>
        </w:rPr>
        <w:t>在客户</w:t>
      </w:r>
      <w:r>
        <w:rPr>
          <w:rFonts w:hint="eastAsia" w:ascii="仿宋_GB2312" w:hAnsi="仿宋_GB2312" w:eastAsia="仿宋_GB2312" w:cs="仿宋_GB2312"/>
          <w:sz w:val="32"/>
          <w:szCs w:val="32"/>
          <w:lang w:val="en-US" w:eastAsia="zh-CN"/>
        </w:rPr>
        <w:t>通过东莞银行上述渠道</w:t>
      </w:r>
      <w:r>
        <w:rPr>
          <w:rFonts w:hint="eastAsia" w:ascii="仿宋_GB2312" w:hAnsi="仿宋_GB2312" w:eastAsia="仿宋_GB2312" w:cs="仿宋_GB2312"/>
          <w:sz w:val="32"/>
          <w:szCs w:val="32"/>
        </w:rPr>
        <w:t>提交确认</w:t>
      </w:r>
      <w:r>
        <w:rPr>
          <w:rFonts w:hint="eastAsia" w:ascii="仿宋_GB2312" w:hAnsi="仿宋_GB2312" w:eastAsia="仿宋_GB2312" w:cs="仿宋_GB2312"/>
          <w:sz w:val="32"/>
          <w:szCs w:val="32"/>
          <w:lang w:val="en-US" w:eastAsia="zh-CN"/>
        </w:rPr>
        <w:t>之日起</w:t>
      </w:r>
      <w:r>
        <w:rPr>
          <w:rFonts w:hint="eastAsia" w:ascii="仿宋_GB2312" w:hAnsi="仿宋_GB2312" w:eastAsia="仿宋_GB2312" w:cs="仿宋_GB2312"/>
          <w:sz w:val="32"/>
          <w:szCs w:val="32"/>
        </w:rPr>
        <w:t>生效。</w:t>
      </w:r>
      <w:r>
        <w:rPr>
          <w:rFonts w:hint="eastAsia" w:ascii="仿宋_GB2312" w:hAnsi="仿宋_GB2312" w:eastAsia="仿宋_GB2312" w:cs="仿宋_GB2312"/>
          <w:sz w:val="32"/>
          <w:szCs w:val="32"/>
          <w:lang w:val="en-US" w:eastAsia="zh-CN"/>
        </w:rPr>
        <w:t>如</w:t>
      </w:r>
      <w:r>
        <w:rPr>
          <w:rFonts w:hint="eastAsia" w:ascii="仿宋_GB2312" w:hAnsi="仿宋_GB2312" w:eastAsia="仿宋_GB2312" w:cs="仿宋_GB2312"/>
          <w:sz w:val="32"/>
          <w:szCs w:val="32"/>
        </w:rPr>
        <w:t>存在任何疑问或任何相关的投诉、意见等，可通过东莞银行营业网点、官方网站（www.dongguanbank.cn）、手机银行、微信银行等渠道，或拨打</w:t>
      </w:r>
      <w:r>
        <w:rPr>
          <w:rFonts w:hint="eastAsia" w:ascii="仿宋_GB2312" w:hAnsi="仿宋_GB2312" w:eastAsia="仿宋_GB2312" w:cs="仿宋_GB2312"/>
          <w:sz w:val="32"/>
          <w:szCs w:val="32"/>
          <w:lang w:val="en-US" w:eastAsia="zh-CN"/>
        </w:rPr>
        <w:t>东莞银行</w:t>
      </w:r>
      <w:r>
        <w:rPr>
          <w:rFonts w:hint="eastAsia" w:ascii="仿宋_GB2312" w:hAnsi="仿宋_GB2312" w:eastAsia="仿宋_GB2312" w:cs="仿宋_GB2312"/>
          <w:sz w:val="32"/>
          <w:szCs w:val="32"/>
        </w:rPr>
        <w:t>服务与投诉热线（956033）进行咨询或反映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第十六条</w:t>
      </w:r>
      <w:r>
        <w:rPr>
          <w:rFonts w:hint="eastAsia" w:ascii="仿宋_GB2312" w:hAnsi="仿宋_GB2312" w:eastAsia="仿宋_GB2312" w:cs="仿宋_GB2312"/>
          <w:sz w:val="32"/>
          <w:szCs w:val="32"/>
          <w:lang w:val="en-US" w:eastAsia="zh-CN"/>
        </w:rPr>
        <w:t xml:space="preserve"> 本服务条款适用中华人民共和国法律，如因本服务条款发生争议且协商不成的，提交东莞仲裁委员会仲裁解决。</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80.2.158.2:8088/sys/attachment/sys_att_main/jg_service.jsp"/>
  </w:docVars>
  <w:rsids>
    <w:rsidRoot w:val="007A685B"/>
    <w:rsid w:val="006E227E"/>
    <w:rsid w:val="007A685B"/>
    <w:rsid w:val="00E96CB0"/>
    <w:rsid w:val="02240584"/>
    <w:rsid w:val="0B493D92"/>
    <w:rsid w:val="0C7A7691"/>
    <w:rsid w:val="0D3E2F48"/>
    <w:rsid w:val="0DA925F8"/>
    <w:rsid w:val="111B419D"/>
    <w:rsid w:val="1AA73BB3"/>
    <w:rsid w:val="1B4A33B3"/>
    <w:rsid w:val="1C8B32AB"/>
    <w:rsid w:val="240F1120"/>
    <w:rsid w:val="2443168D"/>
    <w:rsid w:val="28332753"/>
    <w:rsid w:val="286721EB"/>
    <w:rsid w:val="29256A74"/>
    <w:rsid w:val="2D76348C"/>
    <w:rsid w:val="316D1330"/>
    <w:rsid w:val="38565474"/>
    <w:rsid w:val="389502B9"/>
    <w:rsid w:val="39FBE200"/>
    <w:rsid w:val="3B1E3151"/>
    <w:rsid w:val="3BAD0F9B"/>
    <w:rsid w:val="3D1D7E6F"/>
    <w:rsid w:val="435B312A"/>
    <w:rsid w:val="43792E30"/>
    <w:rsid w:val="47D50DC3"/>
    <w:rsid w:val="4867697B"/>
    <w:rsid w:val="4BCE6EEC"/>
    <w:rsid w:val="4BDC0D61"/>
    <w:rsid w:val="4C92683E"/>
    <w:rsid w:val="4DC462B1"/>
    <w:rsid w:val="50FC0359"/>
    <w:rsid w:val="51B55582"/>
    <w:rsid w:val="53E35CFB"/>
    <w:rsid w:val="540C2867"/>
    <w:rsid w:val="542C35F0"/>
    <w:rsid w:val="55AC1B57"/>
    <w:rsid w:val="563035AE"/>
    <w:rsid w:val="58A9723F"/>
    <w:rsid w:val="5C8332D2"/>
    <w:rsid w:val="5C992768"/>
    <w:rsid w:val="5D0A49FE"/>
    <w:rsid w:val="5DF7D855"/>
    <w:rsid w:val="5EED541E"/>
    <w:rsid w:val="5F807C26"/>
    <w:rsid w:val="60F517FC"/>
    <w:rsid w:val="62F05C89"/>
    <w:rsid w:val="650A5B17"/>
    <w:rsid w:val="660A4877"/>
    <w:rsid w:val="67A45079"/>
    <w:rsid w:val="68F646F3"/>
    <w:rsid w:val="69253756"/>
    <w:rsid w:val="6B874507"/>
    <w:rsid w:val="6E3269D7"/>
    <w:rsid w:val="6EA56D16"/>
    <w:rsid w:val="70962A1E"/>
    <w:rsid w:val="7118627A"/>
    <w:rsid w:val="72D1356D"/>
    <w:rsid w:val="72E74F10"/>
    <w:rsid w:val="7334560B"/>
    <w:rsid w:val="73647D21"/>
    <w:rsid w:val="73D654B6"/>
    <w:rsid w:val="75937B63"/>
    <w:rsid w:val="75ED1015"/>
    <w:rsid w:val="78124D66"/>
    <w:rsid w:val="78C46029"/>
    <w:rsid w:val="790B7E82"/>
    <w:rsid w:val="7DF6799C"/>
    <w:rsid w:val="7ED47F67"/>
    <w:rsid w:val="7FFDA079"/>
    <w:rsid w:val="BFFE59F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2516</Words>
  <Characters>2549</Characters>
  <Lines>1</Lines>
  <Paragraphs>1</Paragraphs>
  <TotalTime>388</TotalTime>
  <ScaleCrop>false</ScaleCrop>
  <LinksUpToDate>false</LinksUpToDate>
  <CharactersWithSpaces>2624</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2022-07-08T03:08:00Z</dcterms:created>
  <dc:creator>莫志伟</dc:creator>
  <cp:lastModifiedBy>袁志良</cp:lastModifiedBy>
  <dcterms:modified xsi:type="dcterms:W3CDTF">2025-08-21T03:42:49Z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711E0656318943B995D0689964E03911</vt:lpwstr>
  </property>
</Properties>
</file>