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0" w:firstLineChars="0"/>
        <w:jc w:val="center"/>
        <w:rPr>
          <w:color w:val="auto"/>
        </w:rPr>
      </w:pPr>
      <w:r>
        <w:rPr>
          <w:rFonts w:hint="eastAsia" w:ascii="方正小标宋_GBK" w:eastAsia="方正小标宋_GBK"/>
          <w:color w:val="auto"/>
          <w:sz w:val="44"/>
          <w:szCs w:val="44"/>
          <w:lang w:val="en-US" w:eastAsia="zh-CN"/>
        </w:rPr>
        <w:t>东莞</w:t>
      </w:r>
      <w:r>
        <w:rPr>
          <w:rFonts w:hint="eastAsia" w:ascii="方正小标宋_GBK" w:eastAsia="方正小标宋_GBK"/>
          <w:color w:val="auto"/>
          <w:sz w:val="44"/>
          <w:szCs w:val="44"/>
        </w:rPr>
        <w:t>银行</w:t>
      </w:r>
      <w:r>
        <w:rPr>
          <w:rFonts w:hint="eastAsia" w:ascii="方正小标宋_GBK" w:eastAsia="方正小标宋_GBK"/>
          <w:color w:val="auto"/>
          <w:sz w:val="44"/>
          <w:szCs w:val="44"/>
          <w:lang w:val="en-US" w:eastAsia="zh-CN"/>
        </w:rPr>
        <w:t>数字人民币业务服务协议</w:t>
      </w:r>
    </w:p>
    <w:p>
      <w:pPr>
        <w:spacing w:line="360" w:lineRule="auto"/>
        <w:ind w:firstLine="640"/>
        <w:rPr>
          <w:color w:val="auto"/>
        </w:rPr>
      </w:pPr>
    </w:p>
    <w:p>
      <w:pPr>
        <w:spacing w:line="360" w:lineRule="auto"/>
        <w:ind w:left="10" w:right="-35" w:rightChars="-11" w:firstLine="624" w:firstLineChars="195"/>
        <w:rPr>
          <w:rFonts w:hint="default" w:ascii="黑体" w:hAnsi="宋体" w:eastAsia="黑体"/>
          <w:color w:val="auto"/>
          <w:szCs w:val="21"/>
          <w:lang w:val="en-US" w:eastAsia="zh-CN"/>
        </w:rPr>
      </w:pPr>
      <w:r>
        <w:rPr>
          <w:rFonts w:hint="eastAsia" w:ascii="黑体" w:hAnsi="宋体" w:eastAsia="黑体"/>
          <w:color w:val="auto"/>
          <w:szCs w:val="21"/>
        </w:rPr>
        <w:t>尊敬的用户：为了维护您的权益，请在签署本协议前，仔细阅读本协议各条款（特别是含有黑体字标题或文字加粗的条款）</w:t>
      </w:r>
      <w:r>
        <w:rPr>
          <w:rFonts w:hint="eastAsia" w:ascii="黑体" w:hAnsi="黑体" w:eastAsia="黑体" w:cs="黑体"/>
          <w:color w:val="auto"/>
          <w:szCs w:val="21"/>
        </w:rPr>
        <w:t>。请关注个人金融信息保护的相关法律法规，了解自己的权利义务，合理审慎提供个人金融信息，维护自身合法权益。如</w:t>
      </w:r>
      <w:r>
        <w:rPr>
          <w:rFonts w:hint="eastAsia" w:ascii="黑体" w:hAnsi="黑体" w:eastAsia="黑体" w:cs="黑体"/>
          <w:color w:val="auto"/>
          <w:szCs w:val="21"/>
          <w:lang w:val="en-US" w:eastAsia="zh-CN"/>
        </w:rPr>
        <w:t>不同意本协议的任何内容，或者无法准确理解相关条款的含义，请勿进行后续操作。</w:t>
      </w:r>
    </w:p>
    <w:p>
      <w:pPr>
        <w:spacing w:line="360" w:lineRule="auto"/>
        <w:ind w:left="10" w:right="-35" w:rightChars="-11" w:firstLine="624" w:firstLineChars="195"/>
        <w:rPr>
          <w:rFonts w:hint="eastAsia" w:eastAsia="仿宋_GB2312"/>
          <w:color w:val="auto"/>
          <w:lang w:eastAsia="zh-CN"/>
        </w:rPr>
      </w:pPr>
      <w:r>
        <w:rPr>
          <w:rFonts w:hint="eastAsia" w:ascii="黑体" w:hAnsi="宋体" w:eastAsia="黑体"/>
          <w:color w:val="auto"/>
          <w:szCs w:val="21"/>
          <w:lang w:val="en-US" w:eastAsia="zh-CN"/>
        </w:rPr>
        <w:t>为明确个人客户（以下简称“甲方”）与东莞银行股份有限公司（以下简称“乙方”）之间的权利和义务，规范双方业务行为，甲乙双方本着平等互利的原则，就甲方通过乙方手机银行APP办理数字人民币相关业务事宜达成本协议</w:t>
      </w:r>
      <w:r>
        <w:rPr>
          <w:rFonts w:hint="eastAsia"/>
          <w:color w:val="auto"/>
          <w:lang w:eastAsia="zh-CN"/>
        </w:rPr>
        <w:t>。</w:t>
      </w:r>
    </w:p>
    <w:p>
      <w:pPr>
        <w:numPr>
          <w:ilvl w:val="0"/>
          <w:numId w:val="1"/>
        </w:numPr>
        <w:spacing w:line="360" w:lineRule="auto"/>
        <w:ind w:firstLine="640"/>
        <w:rPr>
          <w:rFonts w:hint="eastAsia"/>
          <w:color w:val="auto"/>
          <w:lang w:val="en-US" w:eastAsia="zh-CN"/>
        </w:rPr>
      </w:pPr>
      <w:r>
        <w:rPr>
          <w:rFonts w:hint="eastAsia"/>
          <w:color w:val="auto"/>
          <w:lang w:val="en-US" w:eastAsia="zh-CN"/>
        </w:rPr>
        <w:t>服务范围</w:t>
      </w:r>
    </w:p>
    <w:p>
      <w:pPr>
        <w:numPr>
          <w:ilvl w:val="0"/>
          <w:numId w:val="2"/>
        </w:numPr>
        <w:spacing w:line="360" w:lineRule="auto"/>
        <w:ind w:firstLine="640"/>
        <w:rPr>
          <w:rFonts w:hint="eastAsia"/>
          <w:color w:val="auto"/>
          <w:lang w:val="en-US" w:eastAsia="zh-CN"/>
        </w:rPr>
      </w:pPr>
      <w:bookmarkStart w:id="0" w:name="_GoBack"/>
      <w:r>
        <w:rPr>
          <w:rFonts w:hint="eastAsia"/>
          <w:color w:val="auto"/>
          <w:highlight w:val="none"/>
          <w:lang w:val="en-US" w:eastAsia="zh-CN"/>
        </w:rPr>
        <w:t>乙方接受</w:t>
      </w:r>
      <w:r>
        <w:rPr>
          <w:rFonts w:hint="eastAsia"/>
          <w:color w:val="auto"/>
          <w:highlight w:val="none"/>
          <w:lang w:val="en-US" w:eastAsia="zh-CN"/>
        </w:rPr>
        <w:t>甲方</w:t>
      </w:r>
      <w:r>
        <w:rPr>
          <w:rFonts w:hint="eastAsia"/>
          <w:color w:val="auto"/>
          <w:highlight w:val="none"/>
          <w:lang w:val="en-US" w:eastAsia="zh-CN"/>
        </w:rPr>
        <w:t>委托</w:t>
      </w:r>
      <w:bookmarkEnd w:id="0"/>
      <w:r>
        <w:rPr>
          <w:rFonts w:hint="eastAsia"/>
          <w:color w:val="auto"/>
          <w:lang w:val="en-US" w:eastAsia="zh-CN"/>
        </w:rPr>
        <w:t>使用其在乙方开立银行账户时预留的身份信息、手机号码查询甲方在乙方合作的数字人民币运营机构实名认证数字人民币钱包的开立情况。（目前乙方合作的数字人民币运营机构为中国工商银行，后续合作的数字人民币运营机构范围调整以乙方公告为准。）</w:t>
      </w:r>
    </w:p>
    <w:p>
      <w:pPr>
        <w:numPr>
          <w:ilvl w:val="0"/>
          <w:numId w:val="2"/>
        </w:numPr>
        <w:spacing w:line="360" w:lineRule="auto"/>
        <w:ind w:firstLine="640"/>
        <w:rPr>
          <w:rFonts w:hint="eastAsia"/>
          <w:color w:val="auto"/>
          <w:lang w:val="en-US" w:eastAsia="zh-CN"/>
        </w:rPr>
      </w:pPr>
      <w:r>
        <w:rPr>
          <w:rFonts w:hint="eastAsia"/>
          <w:color w:val="auto"/>
          <w:lang w:val="en-US" w:eastAsia="zh-CN"/>
        </w:rPr>
        <w:t>甲方可通过乙方手机银行APP申请将其开立在乙方合作运营机构的实名认证个人数字人民币钱包绑定甲方开立在乙方的银行结算账户，按乙方要求传输或验证绑定要素且成功绑定后，乙方将为甲方提供个人数字人民币钱包绑定、兑出、兑回、转账、交易查询等</w:t>
      </w:r>
      <w:r>
        <w:rPr>
          <w:rFonts w:hint="eastAsia"/>
          <w:color w:val="auto"/>
          <w:highlight w:val="none"/>
          <w:lang w:val="en-US" w:eastAsia="zh-CN"/>
        </w:rPr>
        <w:t>相关</w:t>
      </w:r>
      <w:r>
        <w:rPr>
          <w:rFonts w:hint="eastAsia"/>
          <w:color w:val="auto"/>
          <w:highlight w:val="none"/>
          <w:lang w:val="en-US" w:eastAsia="zh-CN"/>
        </w:rPr>
        <w:t>数字人民币</w:t>
      </w:r>
      <w:r>
        <w:rPr>
          <w:rFonts w:hint="eastAsia"/>
          <w:color w:val="auto"/>
          <w:highlight w:val="none"/>
          <w:lang w:val="en-US" w:eastAsia="zh-CN"/>
        </w:rPr>
        <w:t>服务，具体以乙方手机银行APP服务页面展示为准。</w:t>
      </w:r>
    </w:p>
    <w:p>
      <w:pPr>
        <w:numPr>
          <w:ilvl w:val="-1"/>
          <w:numId w:val="0"/>
        </w:numPr>
        <w:spacing w:line="360" w:lineRule="auto"/>
        <w:ind w:firstLine="640"/>
        <w:rPr>
          <w:rFonts w:hint="default"/>
          <w:color w:val="auto"/>
          <w:lang w:val="en-US" w:eastAsia="zh-CN"/>
        </w:rPr>
      </w:pPr>
      <w:r>
        <w:rPr>
          <w:rFonts w:hint="eastAsia"/>
          <w:color w:val="auto"/>
          <w:lang w:val="en-US" w:eastAsia="zh-CN"/>
        </w:rPr>
        <w:t xml:space="preserve">第二条 双方权利和义务  </w:t>
      </w:r>
    </w:p>
    <w:p>
      <w:pPr>
        <w:numPr>
          <w:ilvl w:val="-1"/>
          <w:numId w:val="0"/>
        </w:numPr>
        <w:spacing w:line="360" w:lineRule="auto"/>
        <w:ind w:firstLine="640"/>
        <w:rPr>
          <w:rFonts w:hint="eastAsia"/>
          <w:color w:val="auto"/>
          <w:lang w:val="en-US" w:eastAsia="zh-CN"/>
        </w:rPr>
      </w:pPr>
      <w:r>
        <w:rPr>
          <w:rFonts w:hint="eastAsia"/>
          <w:color w:val="auto"/>
          <w:lang w:eastAsia="zh-CN"/>
        </w:rPr>
        <w:t>（</w:t>
      </w:r>
      <w:r>
        <w:rPr>
          <w:rFonts w:hint="eastAsia"/>
          <w:color w:val="auto"/>
          <w:lang w:val="en-US" w:eastAsia="zh-CN"/>
        </w:rPr>
        <w:t>一）甲方应确保建立关联关系的个人数字人民币钱包、手机号码及用于绑定个人数字人民币钱包的银行账户为本人所有，保证提供的信息真实、准确、有效，确保委托乙方查询行为、交易行为合法合规，且未侵犯任何第三方合作权益，若甲方违反上述约定造成乙方或任何第三方损失的，由甲方承担全部法律责任。</w:t>
      </w:r>
    </w:p>
    <w:p>
      <w:pPr>
        <w:numPr>
          <w:ilvl w:val="-1"/>
          <w:numId w:val="0"/>
        </w:numPr>
        <w:spacing w:line="360" w:lineRule="auto"/>
        <w:ind w:firstLine="640"/>
        <w:rPr>
          <w:rFonts w:hint="eastAsia"/>
          <w:color w:val="auto"/>
          <w:lang w:val="en-US" w:eastAsia="zh-CN"/>
        </w:rPr>
      </w:pPr>
      <w:r>
        <w:rPr>
          <w:rFonts w:hint="eastAsia"/>
          <w:color w:val="auto"/>
          <w:lang w:val="en-US" w:eastAsia="zh-CN"/>
        </w:rPr>
        <w:t>（二）甲方应配合乙方开展客户身份识别、客户身份及交易背景调查等各项反洗钱工作。在客户信息发生变更时，及时到乙方办理信息更新或业务变更手续，并承诺不存在涉嫌洗钱罪及其上游犯罪等行为，严格按照国家反洗钱相关法律法规执行各项业务，不参与任何与洗钱相关的事项，且甲方及甲方受益所有人不存在以下情况：（1）违反反洗钱、制裁法律法规或监管文件；（2）有信息来源显示其为恐怖分子或涉嫌从事恐怖融资等活动；（3）因涉嫌洗钱、金融欺诈、腐败、逃税、贩毒或其他犯罪行为被境内外有权机关提起诉讼或定罪，或正在从事洗钱、金融欺诈、腐败、逃税、贩毒或其他犯罪行为；（4）设立赌场或从事赌博活动的机构以及其他博彩相关行业；（5）在中国境外注册武器制造、销售企业；（6）拒绝提供身份证件，提交虚假身份证件，或冒用他人身份证件；（7）拒绝配合提供和更新乙方所要求的身份信息，影响乙方对甲方身份真实性判断；（8）因涉嫌洗钱行为或法律法规禁止的其他行为被中国人民银行、司法机关或其他行政机关调查、查询或关注；（9）甲方交易出现异常，或交易与甲方身份背景不符。甲方如发生以上情况，乙方有权限制、暂停或终止本协议服务或全部金融服务，且无须承担任何违约责任。</w:t>
      </w:r>
    </w:p>
    <w:p>
      <w:pPr>
        <w:numPr>
          <w:ilvl w:val="-1"/>
          <w:numId w:val="0"/>
        </w:numPr>
        <w:spacing w:line="360" w:lineRule="auto"/>
        <w:ind w:firstLine="640"/>
        <w:rPr>
          <w:rFonts w:hint="eastAsia"/>
          <w:color w:val="auto"/>
          <w:lang w:val="en-US" w:eastAsia="zh-CN"/>
        </w:rPr>
      </w:pPr>
      <w:r>
        <w:rPr>
          <w:rFonts w:hint="eastAsia"/>
          <w:color w:val="auto"/>
          <w:lang w:val="en-US" w:eastAsia="zh-CN"/>
        </w:rPr>
        <w:t>（三）甲方知悉并同意，进行数字人民币服务需确保绑定银行账户及个人数字人民币钱包状态正常、余额充足。因银行账户或个人数字人民币钱包出现挂失、销户（注销）、可用余额不足、其他异常状况及其他非乙方原因导致乙方无法提供服务的，乙方不承担责任。</w:t>
      </w:r>
    </w:p>
    <w:p>
      <w:pPr>
        <w:numPr>
          <w:ilvl w:val="-1"/>
          <w:numId w:val="0"/>
        </w:numPr>
        <w:spacing w:line="360" w:lineRule="auto"/>
        <w:ind w:firstLine="640"/>
        <w:rPr>
          <w:rFonts w:hint="eastAsia"/>
          <w:b/>
          <w:bCs/>
          <w:color w:val="auto"/>
          <w:lang w:val="en-US" w:eastAsia="zh-CN"/>
        </w:rPr>
      </w:pPr>
      <w:r>
        <w:rPr>
          <w:rFonts w:hint="eastAsia"/>
          <w:b/>
          <w:bCs/>
          <w:color w:val="auto"/>
          <w:lang w:eastAsia="zh-CN"/>
        </w:rPr>
        <w:t>（</w:t>
      </w:r>
      <w:r>
        <w:rPr>
          <w:rFonts w:hint="eastAsia"/>
          <w:b/>
          <w:bCs/>
          <w:color w:val="auto"/>
          <w:lang w:val="en-US" w:eastAsia="zh-CN"/>
        </w:rPr>
        <w:t>四）甲方未遵循本协议或乙方手机银行APP等乙方受理渠道中发布的操作提示、规则的，乙方有权拒绝继续提供服务，由此可能造成的损失乙方不承担责任。</w:t>
      </w:r>
    </w:p>
    <w:p>
      <w:pPr>
        <w:numPr>
          <w:ilvl w:val="-1"/>
          <w:numId w:val="0"/>
        </w:numPr>
        <w:spacing w:line="360" w:lineRule="auto"/>
        <w:ind w:firstLine="640"/>
        <w:rPr>
          <w:rFonts w:hint="eastAsia"/>
          <w:highlight w:val="none"/>
          <w:lang w:val="en-US" w:eastAsia="zh-CN"/>
        </w:rPr>
      </w:pPr>
      <w:r>
        <w:rPr>
          <w:rFonts w:hint="eastAsia"/>
          <w:color w:val="auto"/>
          <w:highlight w:val="none"/>
          <w:lang w:val="en-US" w:eastAsia="zh-CN"/>
        </w:rPr>
        <w:t>（</w:t>
      </w:r>
      <w:r>
        <w:rPr>
          <w:rFonts w:hint="eastAsia"/>
          <w:color w:val="auto"/>
          <w:highlight w:val="none"/>
          <w:lang w:val="en-US" w:eastAsia="zh-CN"/>
        </w:rPr>
        <w:t>五</w:t>
      </w:r>
      <w:r>
        <w:rPr>
          <w:rFonts w:hint="eastAsia"/>
          <w:color w:val="auto"/>
          <w:highlight w:val="none"/>
          <w:lang w:val="en-US" w:eastAsia="zh-CN"/>
        </w:rPr>
        <w:t>）</w:t>
      </w:r>
      <w:r>
        <w:rPr>
          <w:rFonts w:hint="eastAsia"/>
          <w:highlight w:val="none"/>
          <w:lang w:val="en-US" w:eastAsia="zh-CN"/>
        </w:rPr>
        <w:t>乙方为落实监管对于实名认证及反洗钱尽职调查要求，乙方收集、储存、使用甲方在本业务过程中主动提供或因使用服务而产生的个人信息。双方业务关系终止后，乙方将严格按照法律法规及监管要求，保存和处理甲方个人信息。</w:t>
      </w:r>
    </w:p>
    <w:p>
      <w:pPr>
        <w:numPr>
          <w:ilvl w:val="-1"/>
          <w:numId w:val="0"/>
        </w:numPr>
        <w:spacing w:line="360" w:lineRule="auto"/>
        <w:ind w:firstLine="640"/>
        <w:rPr>
          <w:rFonts w:hint="eastAsia"/>
          <w:color w:val="auto"/>
          <w:highlight w:val="none"/>
          <w:lang w:val="en-US" w:eastAsia="zh-CN"/>
        </w:rPr>
      </w:pPr>
      <w:r>
        <w:rPr>
          <w:rFonts w:hint="eastAsia"/>
          <w:highlight w:val="none"/>
          <w:lang w:val="en-US" w:eastAsia="zh-CN"/>
        </w:rPr>
        <w:t>（六）</w:t>
      </w:r>
      <w:r>
        <w:rPr>
          <w:rFonts w:hint="eastAsia"/>
          <w:color w:val="auto"/>
          <w:highlight w:val="none"/>
          <w:lang w:val="en-US" w:eastAsia="zh-CN"/>
        </w:rPr>
        <w:t>乙方应依法为甲方</w:t>
      </w:r>
      <w:r>
        <w:rPr>
          <w:rFonts w:hint="eastAsia"/>
          <w:color w:val="auto"/>
          <w:highlight w:val="none"/>
          <w:lang w:val="en-US" w:eastAsia="zh-CN"/>
        </w:rPr>
        <w:t>个人</w:t>
      </w:r>
      <w:r>
        <w:rPr>
          <w:rFonts w:hint="eastAsia"/>
          <w:color w:val="auto"/>
          <w:highlight w:val="none"/>
          <w:lang w:val="en-US" w:eastAsia="zh-CN"/>
        </w:rPr>
        <w:t>信息保密</w:t>
      </w:r>
      <w:r>
        <w:rPr>
          <w:rFonts w:hint="eastAsia"/>
          <w:color w:val="auto"/>
          <w:highlight w:val="none"/>
          <w:lang w:val="en-US" w:eastAsia="zh-CN"/>
        </w:rPr>
        <w:t>，对于甲方同意乙方处理的个人信息，乙方将按照法律法规、监管规定及甲方约定开展信息处理行为，并采取相应的安全措施保护甲方的个人信息</w:t>
      </w:r>
      <w:r>
        <w:rPr>
          <w:rFonts w:hint="eastAsia"/>
          <w:color w:val="auto"/>
          <w:highlight w:val="none"/>
          <w:lang w:val="en-US" w:eastAsia="zh-CN"/>
        </w:rPr>
        <w:t>。</w:t>
      </w:r>
    </w:p>
    <w:p>
      <w:pPr>
        <w:numPr>
          <w:ilvl w:val="-1"/>
          <w:numId w:val="0"/>
        </w:numPr>
        <w:spacing w:line="360" w:lineRule="auto"/>
        <w:ind w:firstLine="640"/>
        <w:rPr>
          <w:rFonts w:hint="default"/>
          <w:color w:val="auto"/>
          <w:highlight w:val="none"/>
          <w:lang w:val="en-US" w:eastAsia="zh-CN"/>
        </w:rPr>
      </w:pPr>
      <w:r>
        <w:rPr>
          <w:rFonts w:hint="eastAsia"/>
          <w:color w:val="auto"/>
          <w:highlight w:val="none"/>
          <w:lang w:val="en-US" w:eastAsia="zh-CN"/>
        </w:rPr>
        <w:t>（七）乙方及第三方合作机构将根据业务需要，在必要范围内使用甲方个人信息，乙方承诺向第三方机构明确其保护甲方个人信息的职责，并要求第三方合作机构承担相应的保密义务。</w:t>
      </w:r>
    </w:p>
    <w:p>
      <w:pPr>
        <w:numPr>
          <w:ilvl w:val="-1"/>
          <w:numId w:val="0"/>
        </w:numPr>
        <w:spacing w:line="360" w:lineRule="auto"/>
        <w:ind w:firstLine="640"/>
        <w:rPr>
          <w:rFonts w:hint="eastAsia"/>
          <w:color w:val="auto"/>
          <w:lang w:val="en-US" w:eastAsia="zh-CN"/>
        </w:rPr>
      </w:pPr>
      <w:r>
        <w:rPr>
          <w:rFonts w:hint="eastAsia"/>
          <w:color w:val="auto"/>
          <w:lang w:val="en-US" w:eastAsia="zh-CN"/>
        </w:rPr>
        <w:t>（八）乙方可根据法律法规及监管规定、有权部门要求，或者在甲方违反本约定提供信息不符合真实性、准确性和有效性要求的情形下，采取以下一种、多种或全部措施：</w:t>
      </w:r>
    </w:p>
    <w:p>
      <w:pPr>
        <w:numPr>
          <w:ilvl w:val="-1"/>
          <w:numId w:val="0"/>
        </w:numPr>
        <w:spacing w:line="360" w:lineRule="auto"/>
        <w:ind w:firstLine="640"/>
        <w:rPr>
          <w:rFonts w:hint="eastAsia"/>
          <w:color w:val="auto"/>
          <w:highlight w:val="none"/>
          <w:lang w:val="en-US" w:eastAsia="zh-CN"/>
        </w:rPr>
      </w:pPr>
      <w:r>
        <w:rPr>
          <w:rFonts w:hint="eastAsia"/>
          <w:color w:val="auto"/>
          <w:highlight w:val="none"/>
          <w:lang w:val="en-US" w:eastAsia="zh-CN"/>
        </w:rPr>
        <w:t>1. 中止或终止提供本协议项下部分或全部服务；</w:t>
      </w:r>
    </w:p>
    <w:p>
      <w:pPr>
        <w:numPr>
          <w:ilvl w:val="-1"/>
          <w:numId w:val="0"/>
        </w:numPr>
        <w:spacing w:line="360" w:lineRule="auto"/>
        <w:ind w:firstLine="640"/>
        <w:rPr>
          <w:rFonts w:hint="eastAsia"/>
          <w:color w:val="auto"/>
          <w:highlight w:val="none"/>
          <w:lang w:val="en-US" w:eastAsia="zh-CN"/>
        </w:rPr>
      </w:pPr>
      <w:r>
        <w:rPr>
          <w:rFonts w:hint="eastAsia"/>
          <w:color w:val="auto"/>
          <w:highlight w:val="none"/>
          <w:lang w:val="en-US" w:eastAsia="zh-CN"/>
        </w:rPr>
        <w:t>2. 终止本协议。</w:t>
      </w:r>
    </w:p>
    <w:p>
      <w:pPr>
        <w:numPr>
          <w:ilvl w:val="-1"/>
          <w:numId w:val="0"/>
        </w:numPr>
        <w:spacing w:line="360" w:lineRule="auto"/>
        <w:ind w:firstLine="640"/>
        <w:rPr>
          <w:rFonts w:hint="default"/>
          <w:color w:val="auto"/>
          <w:highlight w:val="none"/>
          <w:lang w:val="en-US" w:eastAsia="zh-CN"/>
        </w:rPr>
      </w:pPr>
      <w:r>
        <w:rPr>
          <w:rFonts w:hint="eastAsia"/>
          <w:color w:val="auto"/>
          <w:highlight w:val="none"/>
          <w:lang w:val="en-US" w:eastAsia="zh-CN"/>
        </w:rPr>
        <w:t>（九）因不可抗力（包括但不限于战争、自然灾害、流行病等乙方不能预见、不能避免并不能克服的客观情况）导致乙方不能按约定履行约定的，乙方不承担责任。</w:t>
      </w:r>
    </w:p>
    <w:p>
      <w:pPr>
        <w:numPr>
          <w:ilvl w:val="-1"/>
          <w:numId w:val="0"/>
        </w:numPr>
        <w:spacing w:line="360" w:lineRule="auto"/>
        <w:ind w:firstLine="640"/>
        <w:rPr>
          <w:rFonts w:hint="eastAsia"/>
          <w:color w:val="auto"/>
          <w:lang w:val="en-US" w:eastAsia="zh-CN"/>
        </w:rPr>
      </w:pPr>
      <w:r>
        <w:rPr>
          <w:rFonts w:hint="eastAsia"/>
          <w:color w:val="auto"/>
          <w:lang w:val="en-US" w:eastAsia="zh-CN"/>
        </w:rPr>
        <w:t>第三条 法律适用及争议解决方式</w:t>
      </w:r>
    </w:p>
    <w:p>
      <w:pPr>
        <w:numPr>
          <w:ilvl w:val="-1"/>
          <w:numId w:val="0"/>
        </w:numPr>
        <w:spacing w:line="360" w:lineRule="auto"/>
        <w:ind w:firstLine="640" w:firstLineChars="200"/>
        <w:rPr>
          <w:rFonts w:hint="default"/>
          <w:color w:val="auto"/>
          <w:lang w:val="en-US" w:eastAsia="zh-CN"/>
        </w:rPr>
      </w:pPr>
      <w:r>
        <w:rPr>
          <w:rFonts w:hint="eastAsia"/>
          <w:color w:val="auto"/>
          <w:lang w:val="en-US" w:eastAsia="zh-CN"/>
        </w:rPr>
        <w:t>（一）本协议的成立、生效、履行和解释，均适用中华人民共和国法律；法律法规无明文规定的，可适用通行的金融惯例。</w:t>
      </w:r>
    </w:p>
    <w:p>
      <w:pPr>
        <w:numPr>
          <w:ilvl w:val="-1"/>
          <w:numId w:val="0"/>
        </w:numPr>
        <w:spacing w:line="360" w:lineRule="auto"/>
        <w:ind w:firstLine="640"/>
        <w:rPr>
          <w:rFonts w:hint="eastAsia"/>
          <w:color w:val="auto"/>
          <w:lang w:val="en-US" w:eastAsia="zh-CN"/>
        </w:rPr>
      </w:pPr>
      <w:r>
        <w:rPr>
          <w:rFonts w:hint="eastAsia"/>
          <w:color w:val="auto"/>
          <w:lang w:eastAsia="zh-CN"/>
        </w:rPr>
        <w:t>（</w:t>
      </w:r>
      <w:r>
        <w:rPr>
          <w:rFonts w:hint="eastAsia"/>
          <w:color w:val="auto"/>
          <w:lang w:val="en-US" w:eastAsia="zh-CN"/>
        </w:rPr>
        <w:t>二）凡因本协议引起的或与本协议有关的任何争议，应通过协商解决；协商不成的，双方任何一方均可向乙方住所地人民法院提起诉讼。</w:t>
      </w:r>
    </w:p>
    <w:p>
      <w:pPr>
        <w:numPr>
          <w:ilvl w:val="-1"/>
          <w:numId w:val="0"/>
        </w:numPr>
        <w:spacing w:line="360" w:lineRule="auto"/>
        <w:ind w:firstLine="640"/>
        <w:rPr>
          <w:rFonts w:hint="eastAsia"/>
          <w:color w:val="auto"/>
          <w:lang w:val="en-US" w:eastAsia="zh-CN"/>
        </w:rPr>
      </w:pPr>
      <w:r>
        <w:rPr>
          <w:rFonts w:hint="eastAsia"/>
          <w:color w:val="auto"/>
          <w:lang w:val="en-US" w:eastAsia="zh-CN"/>
        </w:rPr>
        <w:t>第四条 协议的效力</w:t>
      </w:r>
    </w:p>
    <w:p>
      <w:pPr>
        <w:numPr>
          <w:ilvl w:val="-1"/>
          <w:numId w:val="0"/>
        </w:numPr>
        <w:spacing w:line="360" w:lineRule="auto"/>
        <w:ind w:firstLine="640"/>
        <w:rPr>
          <w:rFonts w:hint="eastAsia"/>
          <w:color w:val="auto"/>
          <w:lang w:val="en-US" w:eastAsia="zh-CN"/>
        </w:rPr>
      </w:pPr>
      <w:r>
        <w:rPr>
          <w:rFonts w:hint="eastAsia"/>
          <w:color w:val="auto"/>
          <w:lang w:eastAsia="zh-CN"/>
        </w:rPr>
        <w:t>（</w:t>
      </w:r>
      <w:r>
        <w:rPr>
          <w:rFonts w:hint="eastAsia"/>
          <w:color w:val="auto"/>
          <w:lang w:val="en-US" w:eastAsia="zh-CN"/>
        </w:rPr>
        <w:t>一）甲方通过勾选“同意”并确认提交即表示理解并接受本协议的所有条款，确认承担由此产生的一切责任。本协议于甲方在乙方开立的银行结算账户存续期间有效。</w:t>
      </w:r>
    </w:p>
    <w:p>
      <w:pPr>
        <w:numPr>
          <w:ilvl w:val="-1"/>
          <w:numId w:val="0"/>
        </w:numPr>
        <w:spacing w:line="360" w:lineRule="auto"/>
        <w:ind w:firstLine="640"/>
        <w:rPr>
          <w:rFonts w:hint="eastAsia"/>
          <w:b/>
          <w:bCs/>
          <w:color w:val="auto"/>
          <w:lang w:val="en-US" w:eastAsia="zh-CN"/>
        </w:rPr>
      </w:pPr>
      <w:r>
        <w:rPr>
          <w:rFonts w:hint="eastAsia"/>
          <w:b/>
          <w:bCs/>
          <w:color w:val="auto"/>
          <w:lang w:val="en-US" w:eastAsia="zh-CN"/>
        </w:rPr>
        <w:t>（二）甲方同意，如遇到法律法规、监管规定变化，人民银行业务规则调整，乙方可变更、暂停本协议项下数字人民币业务服务内容，或变更、终止本协议，但乙方应至少提前15个工作日在乙方的官方渠道进行公告。公告到期前，甲方不同意有关本协议数字人民币业务服务变更内容的，可以终止本协议；公告期满，甲方继续使用乙方提供的数字人民币业务服务的，视为同意变更内容。</w:t>
      </w:r>
    </w:p>
    <w:p>
      <w:pPr>
        <w:numPr>
          <w:ilvl w:val="-1"/>
          <w:numId w:val="0"/>
        </w:numPr>
        <w:spacing w:line="360" w:lineRule="auto"/>
        <w:ind w:firstLine="640"/>
        <w:rPr>
          <w:rFonts w:hint="eastAsia"/>
          <w:color w:val="auto"/>
          <w:lang w:val="en-US" w:eastAsia="zh-CN"/>
        </w:rPr>
      </w:pPr>
      <w:r>
        <w:rPr>
          <w:rFonts w:hint="eastAsia"/>
          <w:color w:val="auto"/>
          <w:lang w:val="en-US" w:eastAsia="zh-CN"/>
        </w:rPr>
        <w:t>第五条 协议解除</w:t>
      </w:r>
    </w:p>
    <w:p>
      <w:pPr>
        <w:spacing w:line="360" w:lineRule="auto"/>
        <w:ind w:firstLine="640"/>
        <w:rPr>
          <w:rFonts w:hint="eastAsia"/>
          <w:b/>
          <w:bCs/>
          <w:color w:val="auto"/>
          <w:lang w:val="en-US" w:eastAsia="zh-CN"/>
        </w:rPr>
      </w:pPr>
      <w:r>
        <w:rPr>
          <w:rFonts w:hint="eastAsia"/>
          <w:color w:val="auto"/>
          <w:lang w:val="en-US" w:eastAsia="zh-CN"/>
        </w:rPr>
        <w:t>甲方需提前解除本协议的，可自行通过乙方手机银行APP等乙方受理渠道提出申请，乙方同意终止申请后将不再为甲方提供本协议范围内的任何服务，</w:t>
      </w:r>
      <w:r>
        <w:rPr>
          <w:rFonts w:hint="eastAsia"/>
          <w:b/>
          <w:bCs/>
          <w:color w:val="auto"/>
          <w:lang w:val="en-US" w:eastAsia="zh-CN"/>
        </w:rPr>
        <w:t>甲方应知悉协议解除后将无法通过乙方手机银行APP等乙方受理渠道将数字人民币存入其在乙方开立的银行结算账户。</w:t>
      </w:r>
    </w:p>
    <w:p>
      <w:pPr>
        <w:numPr>
          <w:ilvl w:val="0"/>
          <w:numId w:val="3"/>
        </w:numPr>
        <w:spacing w:line="360" w:lineRule="auto"/>
        <w:ind w:firstLine="643" w:firstLineChars="200"/>
        <w:rPr>
          <w:rFonts w:hint="eastAsia"/>
          <w:b/>
          <w:bCs/>
          <w:color w:val="auto"/>
          <w:lang w:val="en-US" w:eastAsia="zh-CN"/>
        </w:rPr>
      </w:pPr>
      <w:r>
        <w:rPr>
          <w:rFonts w:hint="eastAsia"/>
          <w:b/>
          <w:bCs/>
          <w:color w:val="auto"/>
          <w:lang w:val="en-US" w:eastAsia="zh-CN"/>
        </w:rPr>
        <w:t>特别提醒</w:t>
      </w:r>
    </w:p>
    <w:p>
      <w:pPr>
        <w:numPr>
          <w:ilvl w:val="-1"/>
          <w:numId w:val="0"/>
        </w:numPr>
        <w:spacing w:line="360" w:lineRule="auto"/>
        <w:ind w:firstLine="643" w:firstLineChars="200"/>
        <w:rPr>
          <w:rFonts w:hint="default"/>
          <w:b/>
          <w:bCs/>
          <w:color w:val="auto"/>
          <w:lang w:val="en-US" w:eastAsia="zh-CN"/>
        </w:rPr>
      </w:pPr>
      <w:r>
        <w:rPr>
          <w:rFonts w:hint="eastAsia"/>
          <w:b/>
          <w:bCs/>
          <w:color w:val="auto"/>
          <w:lang w:val="en-US" w:eastAsia="zh-CN"/>
        </w:rPr>
        <w:t>乙方已提请甲方对本协议各条款作全面、准确的理解，并应甲方要求对相应的条款进行了详尽的解释和说明，勾选“同意”并确认提交即代表甲方已认真阅读并充分理解本协议所有条款，对本协议内容无异议。</w:t>
      </w:r>
    </w:p>
    <w:p>
      <w:pPr>
        <w:spacing w:line="360" w:lineRule="auto"/>
        <w:ind w:firstLine="0" w:firstLineChars="0"/>
        <w:outlineLvl w:val="0"/>
        <w:rPr>
          <w:color w:val="auto"/>
        </w:rPr>
      </w:pPr>
      <w:r>
        <w:rPr>
          <w:rFonts w:hint="eastAsia"/>
          <w:b/>
          <w:bCs/>
          <w:color w:val="auto"/>
        </w:rPr>
        <w:t>如存在任何疑问或任何相关的投诉、意见等，可通过东莞银行营业网点、官方网站（www.dongguanbank.cn）、手机银行、微信银行等渠道，或拨打东莞银行服务与投诉热线（956033）进行咨询或反映。</w:t>
      </w:r>
    </w:p>
    <w:p>
      <w:pPr>
        <w:numPr>
          <w:ilvl w:val="-1"/>
          <w:numId w:val="0"/>
        </w:numPr>
        <w:spacing w:line="360" w:lineRule="auto"/>
        <w:ind w:firstLine="0" w:firstLineChars="0"/>
        <w:rPr>
          <w:rFonts w:hint="default"/>
          <w:color w:val="auto"/>
          <w:lang w:val="en-US" w:eastAsia="zh-CN"/>
        </w:rPr>
      </w:pPr>
    </w:p>
    <w:p>
      <w:pPr>
        <w:widowControl/>
        <w:numPr>
          <w:ilvl w:val="255"/>
          <w:numId w:val="0"/>
        </w:numPr>
        <w:spacing w:line="360" w:lineRule="auto"/>
        <w:ind w:firstLine="0" w:firstLineChars="0"/>
        <w:outlineLvl w:val="0"/>
        <w:rPr>
          <w:rFonts w:ascii="仿宋_GB2312" w:hAnsi="仿宋_GB2312" w:cs="仿宋_GB2312"/>
          <w:color w:val="auto"/>
          <w:szCs w:val="32"/>
        </w:rPr>
      </w:pPr>
    </w:p>
    <w:p>
      <w:pPr>
        <w:spacing w:line="360" w:lineRule="auto"/>
        <w:ind w:firstLine="640"/>
        <w:outlineLvl w:val="0"/>
        <w:rPr>
          <w:color w:val="auto"/>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79300A-E728-4FEA-BE2B-72811D3402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EA9E5F9E-9F48-4930-91C5-0B9168D71462}"/>
  </w:font>
  <w:font w:name="方正小标宋_GBK">
    <w:panose1 w:val="02000000000000000000"/>
    <w:charset w:val="86"/>
    <w:family w:val="script"/>
    <w:pitch w:val="default"/>
    <w:sig w:usb0="A00002BF" w:usb1="38CF7CFA" w:usb2="00082016" w:usb3="00000000" w:csb0="00040001" w:csb1="00000000"/>
    <w:embedRegular r:id="rId3" w:fontKey="{C2CFD106-EC1F-4F29-804D-28732D3974E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9363353"/>
    </w:sdtPr>
    <w:sdtContent>
      <w:p>
        <w:pPr>
          <w:pStyle w:val="4"/>
          <w:ind w:firstLine="360"/>
          <w:jc w:val="center"/>
        </w:pPr>
        <w:r>
          <w:fldChar w:fldCharType="begin"/>
        </w:r>
        <w:r>
          <w:instrText xml:space="preserve">PAGE   \* MERGEFORMAT</w:instrText>
        </w:r>
        <w:r>
          <w:fldChar w:fldCharType="separate"/>
        </w:r>
        <w:r>
          <w:rPr>
            <w:lang w:val="zh-CN"/>
          </w:rPr>
          <w:t>2</w:t>
        </w:r>
        <w:r>
          <w:fldChar w:fldCharType="end"/>
        </w:r>
      </w:p>
    </w:sdtContent>
  </w:sdt>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28EDB7"/>
    <w:multiLevelType w:val="singleLevel"/>
    <w:tmpl w:val="C428EDB7"/>
    <w:lvl w:ilvl="0" w:tentative="0">
      <w:start w:val="6"/>
      <w:numFmt w:val="chineseCounting"/>
      <w:suff w:val="space"/>
      <w:lvlText w:val="第%1条"/>
      <w:lvlJc w:val="left"/>
      <w:rPr>
        <w:rFonts w:hint="eastAsia"/>
      </w:rPr>
    </w:lvl>
  </w:abstractNum>
  <w:abstractNum w:abstractNumId="1">
    <w:nsid w:val="DA058F52"/>
    <w:multiLevelType w:val="singleLevel"/>
    <w:tmpl w:val="DA058F52"/>
    <w:lvl w:ilvl="0" w:tentative="0">
      <w:start w:val="1"/>
      <w:numFmt w:val="chineseCounting"/>
      <w:suff w:val="space"/>
      <w:lvlText w:val="第%1条"/>
      <w:lvlJc w:val="left"/>
      <w:rPr>
        <w:rFonts w:hint="eastAsia"/>
      </w:rPr>
    </w:lvl>
  </w:abstractNum>
  <w:abstractNum w:abstractNumId="2">
    <w:nsid w:val="414D6436"/>
    <w:multiLevelType w:val="singleLevel"/>
    <w:tmpl w:val="414D6436"/>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yODMzMmQ5OGJkMzFiMWNhN2ExYjc0OWQyYjRkNDYifQ=="/>
    <w:docVar w:name="KGWebUrl" w:val="http://180.2.158.2:8088/sys/attachment/sys_att_main/jg_service.jsp"/>
  </w:docVars>
  <w:rsids>
    <w:rsidRoot w:val="0082355E"/>
    <w:rsid w:val="000159C0"/>
    <w:rsid w:val="00015DAB"/>
    <w:rsid w:val="00044E3D"/>
    <w:rsid w:val="00053E68"/>
    <w:rsid w:val="00055D76"/>
    <w:rsid w:val="000622EB"/>
    <w:rsid w:val="000645B8"/>
    <w:rsid w:val="000656B9"/>
    <w:rsid w:val="00075932"/>
    <w:rsid w:val="000810C6"/>
    <w:rsid w:val="00083D0C"/>
    <w:rsid w:val="000849D7"/>
    <w:rsid w:val="000A0A46"/>
    <w:rsid w:val="000A51F6"/>
    <w:rsid w:val="000B203E"/>
    <w:rsid w:val="000B6720"/>
    <w:rsid w:val="000B7E4C"/>
    <w:rsid w:val="000C0F43"/>
    <w:rsid w:val="001022C7"/>
    <w:rsid w:val="00122A4E"/>
    <w:rsid w:val="00132D07"/>
    <w:rsid w:val="00143341"/>
    <w:rsid w:val="00143C4D"/>
    <w:rsid w:val="00151CC7"/>
    <w:rsid w:val="00161BF0"/>
    <w:rsid w:val="001851F8"/>
    <w:rsid w:val="00196D53"/>
    <w:rsid w:val="001A1315"/>
    <w:rsid w:val="001A474C"/>
    <w:rsid w:val="001A529F"/>
    <w:rsid w:val="001A7FAA"/>
    <w:rsid w:val="001C0138"/>
    <w:rsid w:val="001C5F0B"/>
    <w:rsid w:val="001D1842"/>
    <w:rsid w:val="001E0176"/>
    <w:rsid w:val="001E29B6"/>
    <w:rsid w:val="001E6837"/>
    <w:rsid w:val="001E6C6F"/>
    <w:rsid w:val="001F0D3F"/>
    <w:rsid w:val="001F1F88"/>
    <w:rsid w:val="001F4331"/>
    <w:rsid w:val="001F48C7"/>
    <w:rsid w:val="00205A50"/>
    <w:rsid w:val="0021075E"/>
    <w:rsid w:val="00210B57"/>
    <w:rsid w:val="002140F6"/>
    <w:rsid w:val="002169C1"/>
    <w:rsid w:val="00224192"/>
    <w:rsid w:val="00242EAB"/>
    <w:rsid w:val="00287EBF"/>
    <w:rsid w:val="002A272B"/>
    <w:rsid w:val="002A440B"/>
    <w:rsid w:val="002B16B8"/>
    <w:rsid w:val="002B7EB8"/>
    <w:rsid w:val="002C2373"/>
    <w:rsid w:val="00312EB2"/>
    <w:rsid w:val="00326B5C"/>
    <w:rsid w:val="0033075D"/>
    <w:rsid w:val="00330C7F"/>
    <w:rsid w:val="00356F46"/>
    <w:rsid w:val="00365457"/>
    <w:rsid w:val="003710BC"/>
    <w:rsid w:val="00385958"/>
    <w:rsid w:val="003C04B2"/>
    <w:rsid w:val="003C0609"/>
    <w:rsid w:val="003C7324"/>
    <w:rsid w:val="003E0666"/>
    <w:rsid w:val="003E1D24"/>
    <w:rsid w:val="003F2626"/>
    <w:rsid w:val="003F3899"/>
    <w:rsid w:val="00405807"/>
    <w:rsid w:val="004110D8"/>
    <w:rsid w:val="004151E2"/>
    <w:rsid w:val="00422AD5"/>
    <w:rsid w:val="0044200E"/>
    <w:rsid w:val="004564A0"/>
    <w:rsid w:val="00465488"/>
    <w:rsid w:val="00490EE1"/>
    <w:rsid w:val="00491CAF"/>
    <w:rsid w:val="00492D86"/>
    <w:rsid w:val="004A08A7"/>
    <w:rsid w:val="004A2FB7"/>
    <w:rsid w:val="004B1E25"/>
    <w:rsid w:val="004C5D6B"/>
    <w:rsid w:val="004D12A9"/>
    <w:rsid w:val="004F7507"/>
    <w:rsid w:val="00502C6D"/>
    <w:rsid w:val="00513CC0"/>
    <w:rsid w:val="0051634B"/>
    <w:rsid w:val="00535D62"/>
    <w:rsid w:val="00536FD7"/>
    <w:rsid w:val="005430E8"/>
    <w:rsid w:val="00556E31"/>
    <w:rsid w:val="00561912"/>
    <w:rsid w:val="00577759"/>
    <w:rsid w:val="00582AEA"/>
    <w:rsid w:val="00591F78"/>
    <w:rsid w:val="00597C63"/>
    <w:rsid w:val="005A015F"/>
    <w:rsid w:val="005B1F75"/>
    <w:rsid w:val="005C0BC8"/>
    <w:rsid w:val="005C53B1"/>
    <w:rsid w:val="005C7D4F"/>
    <w:rsid w:val="005E2EF0"/>
    <w:rsid w:val="005E43C7"/>
    <w:rsid w:val="005F0D0E"/>
    <w:rsid w:val="005F494A"/>
    <w:rsid w:val="00603A81"/>
    <w:rsid w:val="006058FE"/>
    <w:rsid w:val="00605FD6"/>
    <w:rsid w:val="00610F09"/>
    <w:rsid w:val="00617CBC"/>
    <w:rsid w:val="00620FD0"/>
    <w:rsid w:val="00621328"/>
    <w:rsid w:val="00621DCD"/>
    <w:rsid w:val="006262C7"/>
    <w:rsid w:val="006432BF"/>
    <w:rsid w:val="006436F2"/>
    <w:rsid w:val="00646755"/>
    <w:rsid w:val="006470BF"/>
    <w:rsid w:val="00650FC7"/>
    <w:rsid w:val="00657FBE"/>
    <w:rsid w:val="006614D4"/>
    <w:rsid w:val="0066252F"/>
    <w:rsid w:val="006748A9"/>
    <w:rsid w:val="00682E74"/>
    <w:rsid w:val="006854B1"/>
    <w:rsid w:val="00697123"/>
    <w:rsid w:val="006A5F47"/>
    <w:rsid w:val="006B0B96"/>
    <w:rsid w:val="006B2013"/>
    <w:rsid w:val="006B4BC6"/>
    <w:rsid w:val="006D60E7"/>
    <w:rsid w:val="006F06CF"/>
    <w:rsid w:val="006F0C5E"/>
    <w:rsid w:val="006F547E"/>
    <w:rsid w:val="006F62E5"/>
    <w:rsid w:val="0074161F"/>
    <w:rsid w:val="00744D8B"/>
    <w:rsid w:val="00746BB9"/>
    <w:rsid w:val="00757DF2"/>
    <w:rsid w:val="00760DA2"/>
    <w:rsid w:val="00761289"/>
    <w:rsid w:val="00765E0F"/>
    <w:rsid w:val="00772180"/>
    <w:rsid w:val="007862D6"/>
    <w:rsid w:val="007922A5"/>
    <w:rsid w:val="007976D2"/>
    <w:rsid w:val="00797F04"/>
    <w:rsid w:val="007A20AA"/>
    <w:rsid w:val="007A3138"/>
    <w:rsid w:val="007C6D82"/>
    <w:rsid w:val="007C7F83"/>
    <w:rsid w:val="007D040D"/>
    <w:rsid w:val="007D13FF"/>
    <w:rsid w:val="007E7188"/>
    <w:rsid w:val="007F1AD6"/>
    <w:rsid w:val="0080116E"/>
    <w:rsid w:val="00817D4A"/>
    <w:rsid w:val="00820982"/>
    <w:rsid w:val="0082355E"/>
    <w:rsid w:val="008266A3"/>
    <w:rsid w:val="00826F31"/>
    <w:rsid w:val="00831218"/>
    <w:rsid w:val="00841338"/>
    <w:rsid w:val="00843EF4"/>
    <w:rsid w:val="00844970"/>
    <w:rsid w:val="008471E1"/>
    <w:rsid w:val="00856786"/>
    <w:rsid w:val="008611ED"/>
    <w:rsid w:val="00867EDB"/>
    <w:rsid w:val="00871EB3"/>
    <w:rsid w:val="00874A49"/>
    <w:rsid w:val="0088695E"/>
    <w:rsid w:val="00891626"/>
    <w:rsid w:val="00896D52"/>
    <w:rsid w:val="008A03A2"/>
    <w:rsid w:val="008E429D"/>
    <w:rsid w:val="008F454D"/>
    <w:rsid w:val="00932454"/>
    <w:rsid w:val="00945B7C"/>
    <w:rsid w:val="0095009C"/>
    <w:rsid w:val="00992D64"/>
    <w:rsid w:val="00993585"/>
    <w:rsid w:val="0099365B"/>
    <w:rsid w:val="009B7601"/>
    <w:rsid w:val="009C509A"/>
    <w:rsid w:val="009C55EC"/>
    <w:rsid w:val="009D3379"/>
    <w:rsid w:val="009D3450"/>
    <w:rsid w:val="009D366A"/>
    <w:rsid w:val="009E4821"/>
    <w:rsid w:val="009F43D7"/>
    <w:rsid w:val="00A21548"/>
    <w:rsid w:val="00A2351C"/>
    <w:rsid w:val="00A40010"/>
    <w:rsid w:val="00A47C17"/>
    <w:rsid w:val="00A53242"/>
    <w:rsid w:val="00A57709"/>
    <w:rsid w:val="00A62D14"/>
    <w:rsid w:val="00A6324E"/>
    <w:rsid w:val="00A74174"/>
    <w:rsid w:val="00A75BF8"/>
    <w:rsid w:val="00A8112A"/>
    <w:rsid w:val="00A97674"/>
    <w:rsid w:val="00AA2DF3"/>
    <w:rsid w:val="00AB0EEE"/>
    <w:rsid w:val="00AE0035"/>
    <w:rsid w:val="00AE5A38"/>
    <w:rsid w:val="00AF3208"/>
    <w:rsid w:val="00AF4C04"/>
    <w:rsid w:val="00AF51FC"/>
    <w:rsid w:val="00B16029"/>
    <w:rsid w:val="00B22601"/>
    <w:rsid w:val="00B2349B"/>
    <w:rsid w:val="00B23D1E"/>
    <w:rsid w:val="00B33737"/>
    <w:rsid w:val="00B51B39"/>
    <w:rsid w:val="00B532A7"/>
    <w:rsid w:val="00B6119E"/>
    <w:rsid w:val="00B61A9A"/>
    <w:rsid w:val="00B71A76"/>
    <w:rsid w:val="00B75EED"/>
    <w:rsid w:val="00B822D7"/>
    <w:rsid w:val="00B85C39"/>
    <w:rsid w:val="00B86421"/>
    <w:rsid w:val="00B944C8"/>
    <w:rsid w:val="00BA454A"/>
    <w:rsid w:val="00BA4718"/>
    <w:rsid w:val="00BB14EA"/>
    <w:rsid w:val="00BD0920"/>
    <w:rsid w:val="00BE6EBE"/>
    <w:rsid w:val="00BF3FAE"/>
    <w:rsid w:val="00BF6172"/>
    <w:rsid w:val="00C00494"/>
    <w:rsid w:val="00C13671"/>
    <w:rsid w:val="00C30A76"/>
    <w:rsid w:val="00C45B0E"/>
    <w:rsid w:val="00C61629"/>
    <w:rsid w:val="00C706F7"/>
    <w:rsid w:val="00C74166"/>
    <w:rsid w:val="00C91E26"/>
    <w:rsid w:val="00C9594A"/>
    <w:rsid w:val="00CA2482"/>
    <w:rsid w:val="00CA3B34"/>
    <w:rsid w:val="00CA5357"/>
    <w:rsid w:val="00CB55A4"/>
    <w:rsid w:val="00CB618F"/>
    <w:rsid w:val="00CB6921"/>
    <w:rsid w:val="00CC0AF3"/>
    <w:rsid w:val="00CE03F0"/>
    <w:rsid w:val="00CE20AC"/>
    <w:rsid w:val="00CE5275"/>
    <w:rsid w:val="00CF1464"/>
    <w:rsid w:val="00CF65B8"/>
    <w:rsid w:val="00D0113D"/>
    <w:rsid w:val="00D0225C"/>
    <w:rsid w:val="00D2403A"/>
    <w:rsid w:val="00D3027C"/>
    <w:rsid w:val="00D31A45"/>
    <w:rsid w:val="00D36BB9"/>
    <w:rsid w:val="00D53A25"/>
    <w:rsid w:val="00D62576"/>
    <w:rsid w:val="00D667AA"/>
    <w:rsid w:val="00D870CE"/>
    <w:rsid w:val="00D964EB"/>
    <w:rsid w:val="00DA5ACB"/>
    <w:rsid w:val="00DA767A"/>
    <w:rsid w:val="00DB06D6"/>
    <w:rsid w:val="00DC476B"/>
    <w:rsid w:val="00DC4D86"/>
    <w:rsid w:val="00DC6039"/>
    <w:rsid w:val="00DC60D3"/>
    <w:rsid w:val="00DE09BD"/>
    <w:rsid w:val="00DE0A2F"/>
    <w:rsid w:val="00DE24E9"/>
    <w:rsid w:val="00DE3FBF"/>
    <w:rsid w:val="00DE5827"/>
    <w:rsid w:val="00DF1AA6"/>
    <w:rsid w:val="00DF1AE8"/>
    <w:rsid w:val="00DF2721"/>
    <w:rsid w:val="00E02D18"/>
    <w:rsid w:val="00E064DD"/>
    <w:rsid w:val="00E22C55"/>
    <w:rsid w:val="00E245F0"/>
    <w:rsid w:val="00E30C92"/>
    <w:rsid w:val="00E36207"/>
    <w:rsid w:val="00E45FCC"/>
    <w:rsid w:val="00E46D23"/>
    <w:rsid w:val="00E51A41"/>
    <w:rsid w:val="00E70A63"/>
    <w:rsid w:val="00E7291F"/>
    <w:rsid w:val="00E74982"/>
    <w:rsid w:val="00E74CD1"/>
    <w:rsid w:val="00E75623"/>
    <w:rsid w:val="00EA5407"/>
    <w:rsid w:val="00EC01CA"/>
    <w:rsid w:val="00EC0C57"/>
    <w:rsid w:val="00EC2A08"/>
    <w:rsid w:val="00EC334B"/>
    <w:rsid w:val="00EC37D5"/>
    <w:rsid w:val="00EC3B22"/>
    <w:rsid w:val="00ED4243"/>
    <w:rsid w:val="00ED706A"/>
    <w:rsid w:val="00ED7C5C"/>
    <w:rsid w:val="00EE5D3C"/>
    <w:rsid w:val="00EF5C73"/>
    <w:rsid w:val="00EF5FD4"/>
    <w:rsid w:val="00F00BF1"/>
    <w:rsid w:val="00F024FB"/>
    <w:rsid w:val="00F11C2D"/>
    <w:rsid w:val="00F32AF8"/>
    <w:rsid w:val="00F33A8D"/>
    <w:rsid w:val="00F361B5"/>
    <w:rsid w:val="00F362E9"/>
    <w:rsid w:val="00F36A08"/>
    <w:rsid w:val="00F43CE9"/>
    <w:rsid w:val="00F45E99"/>
    <w:rsid w:val="00F7374C"/>
    <w:rsid w:val="00F9029C"/>
    <w:rsid w:val="00F9108F"/>
    <w:rsid w:val="00FA16AB"/>
    <w:rsid w:val="00FA663E"/>
    <w:rsid w:val="00FB22C0"/>
    <w:rsid w:val="00FB7A67"/>
    <w:rsid w:val="00FC117F"/>
    <w:rsid w:val="00FD0B3E"/>
    <w:rsid w:val="00FD1DF5"/>
    <w:rsid w:val="00FE0FC3"/>
    <w:rsid w:val="00FE3612"/>
    <w:rsid w:val="00FE49AB"/>
    <w:rsid w:val="00FF0C69"/>
    <w:rsid w:val="0C946BBC"/>
    <w:rsid w:val="0F406866"/>
    <w:rsid w:val="160F7574"/>
    <w:rsid w:val="1ADB711C"/>
    <w:rsid w:val="1DEC1DF5"/>
    <w:rsid w:val="20AE779C"/>
    <w:rsid w:val="26F90E88"/>
    <w:rsid w:val="27780D0B"/>
    <w:rsid w:val="29FC027A"/>
    <w:rsid w:val="2E754D21"/>
    <w:rsid w:val="2F4C58A8"/>
    <w:rsid w:val="359A7214"/>
    <w:rsid w:val="3BA0748D"/>
    <w:rsid w:val="3D6B2F4F"/>
    <w:rsid w:val="3D761190"/>
    <w:rsid w:val="3F1D0FFF"/>
    <w:rsid w:val="3F726C5D"/>
    <w:rsid w:val="46207231"/>
    <w:rsid w:val="46263C9E"/>
    <w:rsid w:val="462C5979"/>
    <w:rsid w:val="4B0212B5"/>
    <w:rsid w:val="4CDF0364"/>
    <w:rsid w:val="50C3639C"/>
    <w:rsid w:val="51130126"/>
    <w:rsid w:val="51906E14"/>
    <w:rsid w:val="52415F85"/>
    <w:rsid w:val="524757A8"/>
    <w:rsid w:val="53536541"/>
    <w:rsid w:val="57950CA3"/>
    <w:rsid w:val="5C3178CF"/>
    <w:rsid w:val="5DF7235B"/>
    <w:rsid w:val="61ED7141"/>
    <w:rsid w:val="64152F06"/>
    <w:rsid w:val="66830175"/>
    <w:rsid w:val="6B032C11"/>
    <w:rsid w:val="6CB45E55"/>
    <w:rsid w:val="6D9B0C18"/>
    <w:rsid w:val="6E7B733F"/>
    <w:rsid w:val="6F1E1FA4"/>
    <w:rsid w:val="703E1AF2"/>
    <w:rsid w:val="706E3EF6"/>
    <w:rsid w:val="75E91739"/>
    <w:rsid w:val="7B971E02"/>
    <w:rsid w:val="7CAB6944"/>
    <w:rsid w:val="7F2F1434"/>
    <w:rsid w:val="7F5DEF21"/>
    <w:rsid w:val="7FEE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3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Strong"/>
    <w:basedOn w:val="8"/>
    <w:qFormat/>
    <w:uiPriority w:val="22"/>
    <w:rPr>
      <w:b/>
      <w:bCs/>
    </w:rPr>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customStyle="1" w:styleId="13">
    <w:name w:val="修订1"/>
    <w:hidden/>
    <w:semiHidden/>
    <w:qFormat/>
    <w:uiPriority w:val="99"/>
    <w:rPr>
      <w:rFonts w:eastAsia="仿宋_GB2312" w:asciiTheme="minorHAnsi" w:hAnsiTheme="minorHAnsi" w:cstheme="minorBidi"/>
      <w:kern w:val="2"/>
      <w:sz w:val="32"/>
      <w:szCs w:val="22"/>
      <w:lang w:val="en-US" w:eastAsia="zh-CN" w:bidi="ar-SA"/>
    </w:rPr>
  </w:style>
  <w:style w:type="character" w:customStyle="1" w:styleId="14">
    <w:name w:val="批注文字 字符"/>
    <w:basedOn w:val="8"/>
    <w:link w:val="2"/>
    <w:semiHidden/>
    <w:qFormat/>
    <w:uiPriority w:val="99"/>
    <w:rPr>
      <w:rFonts w:eastAsia="仿宋_GB2312"/>
      <w:sz w:val="32"/>
    </w:rPr>
  </w:style>
  <w:style w:type="character" w:customStyle="1" w:styleId="15">
    <w:name w:val="批注主题 字符"/>
    <w:basedOn w:val="14"/>
    <w:link w:val="6"/>
    <w:semiHidden/>
    <w:qFormat/>
    <w:uiPriority w:val="99"/>
    <w:rPr>
      <w:rFonts w:eastAsia="仿宋_GB2312"/>
      <w:b/>
      <w:bCs/>
      <w:sz w:val="32"/>
    </w:rPr>
  </w:style>
  <w:style w:type="character" w:customStyle="1" w:styleId="16">
    <w:name w:val="批注框文本 字符"/>
    <w:basedOn w:val="8"/>
    <w:link w:val="3"/>
    <w:semiHidden/>
    <w:qFormat/>
    <w:uiPriority w:val="99"/>
    <w:rPr>
      <w:rFonts w:eastAsia="仿宋_GB2312"/>
      <w:sz w:val="18"/>
      <w:szCs w:val="18"/>
    </w:rPr>
  </w:style>
  <w:style w:type="paragraph" w:styleId="17">
    <w:name w:val="List Paragraph"/>
    <w:basedOn w:val="1"/>
    <w:qFormat/>
    <w:uiPriority w:val="34"/>
    <w:pPr>
      <w:ind w:firstLine="420"/>
    </w:pPr>
  </w:style>
  <w:style w:type="paragraph" w:customStyle="1" w:styleId="18">
    <w:name w:val="修订2"/>
    <w:hidden/>
    <w:semiHidden/>
    <w:qFormat/>
    <w:uiPriority w:val="99"/>
    <w:rPr>
      <w:rFonts w:eastAsia="仿宋_GB2312" w:asciiTheme="minorHAnsi" w:hAnsiTheme="minorHAnsi" w:cstheme="minorBidi"/>
      <w:kern w:val="2"/>
      <w:sz w:val="32"/>
      <w:szCs w:val="22"/>
      <w:lang w:val="en-US" w:eastAsia="zh-CN" w:bidi="ar-SA"/>
    </w:rPr>
  </w:style>
  <w:style w:type="table" w:customStyle="1" w:styleId="19">
    <w:name w:val="网格型浅色1"/>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20">
    <w:name w:val="修订3"/>
    <w:hidden/>
    <w:semiHidden/>
    <w:qFormat/>
    <w:uiPriority w:val="99"/>
    <w:rPr>
      <w:rFonts w:eastAsia="仿宋_GB2312"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571</Words>
  <Characters>3259</Characters>
  <Lines>27</Lines>
  <Paragraphs>7</Paragraphs>
  <TotalTime>102</TotalTime>
  <ScaleCrop>false</ScaleCrop>
  <LinksUpToDate>false</LinksUpToDate>
  <CharactersWithSpaces>3823</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2023-09-12T09:43:00Z</dcterms:created>
  <dc:creator>liumai</dc:creator>
  <cp:lastModifiedBy>莫志伟</cp:lastModifiedBy>
  <dcterms:modified xsi:type="dcterms:W3CDTF">2024-05-10T08:37:03Z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DC74B462456E4AE285812516935394C4_13</vt:lpwstr>
  </property>
</Properties>
</file>