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6"/>
        </w:rPr>
      </w:pPr>
      <w:r>
        <w:rPr>
          <w:rFonts w:hint="eastAsia"/>
          <w:b/>
          <w:bCs/>
          <w:sz w:val="32"/>
          <w:szCs w:val="36"/>
        </w:rPr>
        <w:t>东莞银行实物贵金属产品线上服务个人信息授权协议</w:t>
      </w:r>
    </w:p>
    <w:p>
      <w:pPr>
        <w:jc w:val="center"/>
        <w:rPr>
          <w:b/>
          <w:bCs/>
        </w:rPr>
      </w:pPr>
    </w:p>
    <w:p>
      <w:pPr>
        <w:spacing w:line="360" w:lineRule="auto"/>
        <w:rPr>
          <w:rFonts w:ascii="仿宋" w:hAnsi="仿宋" w:eastAsia="仿宋" w:cs="仿宋"/>
          <w:b/>
          <w:bCs/>
          <w:sz w:val="24"/>
          <w:szCs w:val="28"/>
        </w:rPr>
      </w:pPr>
      <w:r>
        <w:rPr>
          <w:rFonts w:hint="eastAsia" w:ascii="仿宋" w:hAnsi="仿宋" w:eastAsia="仿宋" w:cs="仿宋"/>
          <w:b/>
          <w:bCs/>
          <w:sz w:val="24"/>
          <w:szCs w:val="28"/>
        </w:rPr>
        <w:t xml:space="preserve">甲方：客户                                                        </w:t>
      </w:r>
    </w:p>
    <w:p>
      <w:pPr>
        <w:spacing w:line="360" w:lineRule="auto"/>
        <w:rPr>
          <w:rFonts w:ascii="仿宋" w:hAnsi="仿宋" w:eastAsia="仿宋" w:cs="仿宋"/>
          <w:b/>
          <w:bCs/>
          <w:sz w:val="24"/>
          <w:szCs w:val="28"/>
        </w:rPr>
      </w:pPr>
      <w:r>
        <w:rPr>
          <w:rFonts w:hint="eastAsia" w:ascii="仿宋" w:hAnsi="仿宋" w:eastAsia="仿宋" w:cs="仿宋"/>
          <w:b/>
          <w:bCs/>
          <w:sz w:val="24"/>
          <w:szCs w:val="28"/>
        </w:rPr>
        <w:t>乙方：东莞银行股份有限公司</w:t>
      </w:r>
    </w:p>
    <w:p>
      <w:pPr>
        <w:spacing w:line="360" w:lineRule="auto"/>
        <w:jc w:val="left"/>
        <w:rPr>
          <w:rFonts w:ascii="仿宋" w:hAnsi="仿宋" w:eastAsia="仿宋" w:cs="仿宋"/>
          <w:sz w:val="24"/>
          <w:szCs w:val="28"/>
        </w:rPr>
      </w:pPr>
    </w:p>
    <w:p>
      <w:pPr>
        <w:spacing w:line="360" w:lineRule="auto"/>
        <w:jc w:val="left"/>
      </w:pPr>
      <w:r>
        <w:rPr>
          <w:rFonts w:hint="eastAsia" w:ascii="仿宋" w:hAnsi="仿宋" w:eastAsia="仿宋" w:cs="仿宋"/>
          <w:sz w:val="24"/>
          <w:szCs w:val="28"/>
        </w:rPr>
        <w:t>尊敬的客户：</w:t>
      </w:r>
    </w:p>
    <w:p>
      <w:pPr>
        <w:spacing w:line="360" w:lineRule="auto"/>
        <w:ind w:firstLine="480" w:firstLineChars="200"/>
        <w:rPr>
          <w:rFonts w:ascii="仿宋" w:hAnsi="仿宋" w:eastAsia="仿宋" w:cs="仿宋"/>
          <w:b/>
          <w:bCs/>
          <w:sz w:val="24"/>
          <w:szCs w:val="28"/>
        </w:rPr>
      </w:pPr>
      <w:r>
        <w:rPr>
          <w:rFonts w:hint="eastAsia" w:ascii="仿宋" w:hAnsi="仿宋" w:eastAsia="仿宋" w:cs="仿宋"/>
          <w:sz w:val="24"/>
          <w:szCs w:val="28"/>
        </w:rPr>
        <w:t>《东莞银行实物贵金属产品线上</w:t>
      </w:r>
      <w:bookmarkStart w:id="0" w:name="_GoBack"/>
      <w:bookmarkEnd w:id="0"/>
      <w:r>
        <w:rPr>
          <w:rFonts w:hint="eastAsia" w:ascii="仿宋" w:hAnsi="仿宋" w:eastAsia="仿宋" w:cs="仿宋"/>
          <w:sz w:val="24"/>
          <w:szCs w:val="28"/>
        </w:rPr>
        <w:t>服务个人信息授权协议》（以下简称“本协议”）是东莞银行股份有限公司（以下简称“我行”或“东莞银行”）与在东莞银行开立个人银行账户的个人客户（以下简称“您”或“客户”）就特定服务项下的个人信息授权相关事项所订立的有效合约。需要特别提醒您的是，本协议约定的是您在使用我行手机银行、个人网上银行和移动营销等线上渠道进行我行代销实物贵金属产品交易时需要进行的个人信息授权，我行对重要条款进行了加粗以便您重点阅读和关注。</w:t>
      </w:r>
      <w:r>
        <w:rPr>
          <w:rFonts w:hint="eastAsia" w:ascii="仿宋" w:hAnsi="仿宋" w:eastAsia="仿宋" w:cs="仿宋"/>
          <w:b/>
          <w:bCs/>
          <w:sz w:val="24"/>
          <w:szCs w:val="28"/>
        </w:rPr>
        <w:t>请您确认在签署本协议之前，务必仔细阅读并透彻理解本</w:t>
      </w:r>
      <w:r>
        <w:rPr>
          <w:rFonts w:hint="eastAsia" w:ascii="仿宋" w:hAnsi="仿宋" w:eastAsia="仿宋" w:cs="仿宋"/>
          <w:b/>
          <w:bCs/>
          <w:sz w:val="24"/>
          <w:szCs w:val="28"/>
          <w:lang w:val="en-US" w:eastAsia="zh-CN"/>
        </w:rPr>
        <w:t>协议</w:t>
      </w:r>
      <w:r>
        <w:rPr>
          <w:rFonts w:hint="eastAsia" w:ascii="仿宋" w:hAnsi="仿宋" w:eastAsia="仿宋" w:cs="仿宋"/>
          <w:b/>
          <w:bCs/>
          <w:sz w:val="24"/>
          <w:szCs w:val="28"/>
        </w:rPr>
        <w:t>全部条款，尤其是加粗的字体部分，在确认充分理解后慎重决定是否同意本协议。如果您不同意本协议的任意条款，或者无法准确理解该条款的含义，请不要进行后续任何操作，因操作失误导致的后果将由您个人承担。如您拒绝签署本协议，将导致您无法使用我行实物贵金属产品线上服务。如对本协议内容存在任何疑问或任何相关的投诉、意见等，您可通过东莞银行营业网点、官方网站（www.dongguanbank.cn）、手机银行、微信银行等渠道，或拨打东莞银行服务与投诉热线（956033）进行咨询或反映。</w:t>
      </w:r>
    </w:p>
    <w:p>
      <w:pPr>
        <w:spacing w:line="360" w:lineRule="auto"/>
        <w:ind w:firstLine="482" w:firstLineChars="200"/>
        <w:rPr>
          <w:rFonts w:ascii="仿宋" w:hAnsi="仿宋" w:eastAsia="仿宋" w:cs="仿宋"/>
          <w:b/>
          <w:bCs/>
          <w:sz w:val="24"/>
          <w:szCs w:val="28"/>
        </w:rPr>
      </w:pPr>
    </w:p>
    <w:p>
      <w:pPr>
        <w:numPr>
          <w:ilvl w:val="0"/>
          <w:numId w:val="1"/>
        </w:num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当您在我行手机银行、个人网上银行和移动营销等线上渠道进行我行代销的实物贵金属产品购买时，如选择产品配送方式为送货上门，为了您</w:t>
      </w:r>
      <w:r>
        <w:rPr>
          <w:rFonts w:hint="eastAsia" w:ascii="仿宋" w:hAnsi="仿宋" w:eastAsia="仿宋" w:cs="仿宋"/>
          <w:sz w:val="24"/>
          <w:szCs w:val="28"/>
          <w:lang w:val="en-US" w:eastAsia="zh-CN"/>
        </w:rPr>
        <w:t>能</w:t>
      </w:r>
      <w:r>
        <w:rPr>
          <w:rFonts w:hint="eastAsia" w:ascii="仿宋" w:hAnsi="仿宋" w:eastAsia="仿宋" w:cs="仿宋"/>
          <w:sz w:val="24"/>
          <w:szCs w:val="28"/>
        </w:rPr>
        <w:t>顺利收件，您需要提供</w:t>
      </w:r>
      <w:r>
        <w:rPr>
          <w:rFonts w:hint="eastAsia" w:ascii="仿宋" w:hAnsi="仿宋" w:eastAsia="仿宋" w:cs="仿宋"/>
          <w:b/>
          <w:bCs/>
          <w:sz w:val="24"/>
          <w:szCs w:val="28"/>
        </w:rPr>
        <w:t>收件人姓名、收件人</w:t>
      </w:r>
      <w:r>
        <w:rPr>
          <w:rFonts w:hint="eastAsia" w:ascii="仿宋" w:hAnsi="仿宋" w:eastAsia="仿宋" w:cs="仿宋"/>
          <w:b/>
          <w:bCs/>
          <w:sz w:val="24"/>
          <w:szCs w:val="28"/>
          <w:lang w:val="en-US" w:eastAsia="zh-CN"/>
        </w:rPr>
        <w:t>手机号码</w:t>
      </w:r>
      <w:r>
        <w:rPr>
          <w:rFonts w:hint="eastAsia" w:ascii="仿宋" w:hAnsi="仿宋" w:eastAsia="仿宋" w:cs="仿宋"/>
          <w:b/>
          <w:bCs/>
          <w:sz w:val="24"/>
          <w:szCs w:val="28"/>
        </w:rPr>
        <w:t>、收件地址信息，并且需要您授权</w:t>
      </w:r>
      <w:r>
        <w:rPr>
          <w:rFonts w:hint="eastAsia" w:ascii="仿宋" w:hAnsi="仿宋" w:eastAsia="仿宋" w:cs="仿宋"/>
          <w:b/>
          <w:bCs/>
          <w:sz w:val="24"/>
          <w:szCs w:val="28"/>
          <w:lang w:val="en-US" w:eastAsia="zh-CN"/>
        </w:rPr>
        <w:t>我行</w:t>
      </w:r>
      <w:r>
        <w:rPr>
          <w:rFonts w:hint="eastAsia" w:ascii="仿宋" w:hAnsi="仿宋" w:eastAsia="仿宋" w:cs="仿宋"/>
          <w:b/>
          <w:bCs/>
          <w:sz w:val="24"/>
          <w:szCs w:val="28"/>
        </w:rPr>
        <w:t>将前述收件信息提供给产品的供应商</w:t>
      </w:r>
      <w:r>
        <w:rPr>
          <w:rFonts w:hint="eastAsia" w:ascii="仿宋" w:hAnsi="仿宋" w:eastAsia="仿宋" w:cs="仿宋"/>
          <w:sz w:val="24"/>
          <w:szCs w:val="28"/>
        </w:rPr>
        <w:t>（供应商名单和联系方式见附件），以便产品供应商指定快递公司为您提供相应服务。您可以通过产品详情页，查看每件产品对应的供应商。</w:t>
      </w:r>
      <w:r>
        <w:rPr>
          <w:rFonts w:hint="eastAsia" w:ascii="仿宋" w:hAnsi="仿宋" w:eastAsia="仿宋" w:cs="仿宋"/>
          <w:b/>
          <w:bCs/>
          <w:sz w:val="24"/>
          <w:szCs w:val="28"/>
        </w:rPr>
        <w:t>如您拒绝提供本条所列信息，您可能无法办理相应业务</w:t>
      </w:r>
      <w:r>
        <w:rPr>
          <w:rFonts w:hint="eastAsia" w:ascii="仿宋" w:hAnsi="仿宋" w:eastAsia="仿宋" w:cs="仿宋"/>
          <w:sz w:val="24"/>
          <w:szCs w:val="28"/>
        </w:rPr>
        <w:t>。</w:t>
      </w:r>
    </w:p>
    <w:p>
      <w:pPr>
        <w:spacing w:line="360" w:lineRule="auto"/>
        <w:rPr>
          <w:rFonts w:ascii="仿宋" w:hAnsi="仿宋" w:eastAsia="仿宋" w:cs="仿宋"/>
          <w:sz w:val="24"/>
          <w:szCs w:val="28"/>
        </w:rPr>
      </w:pPr>
    </w:p>
    <w:p>
      <w:pPr>
        <w:numPr>
          <w:ilvl w:val="0"/>
          <w:numId w:val="1"/>
        </w:num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当您在我行手机银行、个人网上银行和移动营销等线上渠道进行东莞银行代销实物贵金属产品线上交易时，如您有开具发票的需求，为完成发票开具，</w:t>
      </w:r>
      <w:r>
        <w:rPr>
          <w:rFonts w:hint="eastAsia" w:ascii="仿宋" w:hAnsi="仿宋" w:eastAsia="仿宋" w:cs="仿宋"/>
          <w:b/>
          <w:bCs/>
          <w:sz w:val="24"/>
          <w:szCs w:val="28"/>
        </w:rPr>
        <w:t>我行需要收集您的发票抬头、电子邮箱</w:t>
      </w:r>
      <w:r>
        <w:rPr>
          <w:rFonts w:hint="eastAsia" w:ascii="仿宋" w:hAnsi="仿宋" w:eastAsia="仿宋" w:cs="仿宋"/>
          <w:b/>
          <w:bCs/>
          <w:sz w:val="24"/>
          <w:szCs w:val="28"/>
          <w:lang w:eastAsia="zh-CN"/>
        </w:rPr>
        <w:t>，</w:t>
      </w:r>
      <w:r>
        <w:rPr>
          <w:rFonts w:hint="eastAsia" w:ascii="仿宋" w:hAnsi="仿宋" w:eastAsia="仿宋" w:cs="仿宋"/>
          <w:b/>
          <w:bCs/>
          <w:sz w:val="24"/>
          <w:szCs w:val="28"/>
          <w:lang w:val="en-US" w:eastAsia="zh-CN"/>
        </w:rPr>
        <w:t>如抬头为单位，还需提供单位纳税人识别号、电话号码、单位地址、单位账户开户银行、单位账号等</w:t>
      </w:r>
      <w:r>
        <w:rPr>
          <w:rFonts w:hint="eastAsia" w:ascii="仿宋" w:hAnsi="仿宋" w:eastAsia="仿宋" w:cs="仿宋"/>
          <w:b/>
          <w:bCs/>
          <w:sz w:val="24"/>
          <w:szCs w:val="28"/>
        </w:rPr>
        <w:t>信息</w:t>
      </w:r>
      <w:r>
        <w:rPr>
          <w:rFonts w:hint="eastAsia" w:ascii="仿宋" w:hAnsi="仿宋" w:eastAsia="仿宋" w:cs="仿宋"/>
          <w:sz w:val="24"/>
          <w:szCs w:val="28"/>
        </w:rPr>
        <w:t>，</w:t>
      </w:r>
      <w:r>
        <w:rPr>
          <w:rFonts w:hint="eastAsia" w:ascii="仿宋" w:hAnsi="仿宋" w:eastAsia="仿宋" w:cs="仿宋"/>
          <w:b/>
          <w:bCs/>
          <w:sz w:val="24"/>
          <w:szCs w:val="28"/>
        </w:rPr>
        <w:t>并且需要您授权将前述信息提供给产品的供应商，</w:t>
      </w:r>
      <w:r>
        <w:rPr>
          <w:rFonts w:hint="eastAsia" w:ascii="仿宋" w:hAnsi="仿宋" w:eastAsia="仿宋" w:cs="仿宋"/>
          <w:sz w:val="24"/>
          <w:szCs w:val="28"/>
        </w:rPr>
        <w:t>以便我行为您开具电子发票并通过</w:t>
      </w:r>
      <w:r>
        <w:rPr>
          <w:rFonts w:hint="eastAsia" w:ascii="仿宋" w:hAnsi="仿宋" w:eastAsia="仿宋" w:cs="仿宋"/>
          <w:sz w:val="24"/>
          <w:szCs w:val="28"/>
          <w:lang w:val="en-US" w:eastAsia="zh-CN"/>
        </w:rPr>
        <w:t>您提供的</w:t>
      </w:r>
      <w:r>
        <w:rPr>
          <w:rFonts w:hint="eastAsia" w:ascii="仿宋" w:hAnsi="仿宋" w:eastAsia="仿宋" w:cs="仿宋"/>
          <w:sz w:val="24"/>
          <w:szCs w:val="28"/>
        </w:rPr>
        <w:t>电子邮箱发送</w:t>
      </w:r>
      <w:r>
        <w:rPr>
          <w:rFonts w:hint="eastAsia" w:ascii="仿宋" w:hAnsi="仿宋" w:eastAsia="仿宋" w:cs="仿宋"/>
          <w:sz w:val="24"/>
          <w:szCs w:val="28"/>
          <w:lang w:val="en-US" w:eastAsia="zh-CN"/>
        </w:rPr>
        <w:t>电子</w:t>
      </w:r>
      <w:r>
        <w:rPr>
          <w:rFonts w:hint="eastAsia" w:ascii="仿宋" w:hAnsi="仿宋" w:eastAsia="仿宋" w:cs="仿宋"/>
          <w:sz w:val="24"/>
          <w:szCs w:val="28"/>
        </w:rPr>
        <w:t>发票。</w:t>
      </w:r>
      <w:r>
        <w:rPr>
          <w:rFonts w:hint="eastAsia" w:ascii="仿宋" w:hAnsi="仿宋" w:eastAsia="仿宋" w:cs="仿宋"/>
          <w:b/>
          <w:bCs/>
          <w:sz w:val="24"/>
          <w:szCs w:val="28"/>
        </w:rPr>
        <w:t>如您拒绝提供本条所列信息，</w:t>
      </w:r>
      <w:r>
        <w:rPr>
          <w:rFonts w:hint="eastAsia" w:ascii="仿宋" w:hAnsi="仿宋" w:eastAsia="仿宋" w:cs="仿宋"/>
          <w:b/>
          <w:bCs/>
          <w:sz w:val="24"/>
          <w:szCs w:val="28"/>
          <w:lang w:val="en-US" w:eastAsia="zh-CN"/>
        </w:rPr>
        <w:t>供应商</w:t>
      </w:r>
      <w:r>
        <w:rPr>
          <w:rFonts w:hint="eastAsia" w:ascii="仿宋" w:hAnsi="仿宋" w:eastAsia="仿宋" w:cs="仿宋"/>
          <w:b/>
          <w:bCs/>
          <w:sz w:val="24"/>
          <w:szCs w:val="28"/>
        </w:rPr>
        <w:t>可能无法</w:t>
      </w:r>
      <w:r>
        <w:rPr>
          <w:rFonts w:hint="eastAsia" w:ascii="仿宋" w:hAnsi="仿宋" w:eastAsia="仿宋" w:cs="仿宋"/>
          <w:b/>
          <w:bCs/>
          <w:sz w:val="24"/>
          <w:szCs w:val="28"/>
          <w:lang w:val="en-US" w:eastAsia="zh-CN"/>
        </w:rPr>
        <w:t>开具</w:t>
      </w:r>
      <w:r>
        <w:rPr>
          <w:rFonts w:hint="eastAsia" w:ascii="仿宋" w:hAnsi="仿宋" w:eastAsia="仿宋" w:cs="仿宋"/>
          <w:b/>
          <w:bCs/>
          <w:sz w:val="24"/>
          <w:szCs w:val="28"/>
        </w:rPr>
        <w:t>发票</w:t>
      </w:r>
      <w:r>
        <w:rPr>
          <w:rFonts w:hint="eastAsia" w:ascii="仿宋" w:hAnsi="仿宋" w:eastAsia="仿宋" w:cs="仿宋"/>
          <w:sz w:val="24"/>
          <w:szCs w:val="28"/>
        </w:rPr>
        <w:t>。</w:t>
      </w:r>
    </w:p>
    <w:p>
      <w:pPr>
        <w:spacing w:line="360" w:lineRule="auto"/>
        <w:rPr>
          <w:rFonts w:ascii="仿宋" w:hAnsi="仿宋" w:eastAsia="仿宋" w:cs="仿宋"/>
          <w:sz w:val="24"/>
          <w:szCs w:val="28"/>
        </w:rPr>
      </w:pPr>
    </w:p>
    <w:p>
      <w:pPr>
        <w:numPr>
          <w:ilvl w:val="0"/>
          <w:numId w:val="1"/>
        </w:numPr>
        <w:spacing w:line="360" w:lineRule="auto"/>
        <w:ind w:firstLine="480" w:firstLineChars="200"/>
        <w:rPr>
          <w:rFonts w:ascii="仿宋" w:hAnsi="仿宋" w:eastAsia="仿宋" w:cs="仿宋"/>
          <w:b/>
          <w:bCs/>
          <w:sz w:val="24"/>
          <w:szCs w:val="28"/>
        </w:rPr>
      </w:pPr>
      <w:r>
        <w:rPr>
          <w:rFonts w:hint="eastAsia" w:ascii="仿宋" w:hAnsi="仿宋" w:eastAsia="仿宋" w:cs="仿宋"/>
          <w:sz w:val="24"/>
          <w:szCs w:val="28"/>
        </w:rPr>
        <w:t>东莞银行在中华人民共和国境内收集和产生的个人信息将依法存储在中华人民共和国境内，并已使用符合业界标准的安全防护措施保护您的个人信息，防止数据被用于未经授权的访问、公开披露、使用、修改、损坏等，并采取合理可行的措施，确保不采集与实物贵金属产品线上交易无关的个人信息。</w:t>
      </w:r>
      <w:r>
        <w:rPr>
          <w:rFonts w:hint="eastAsia" w:ascii="仿宋" w:hAnsi="仿宋" w:eastAsia="仿宋" w:cs="仿宋"/>
          <w:b/>
          <w:bCs/>
          <w:sz w:val="24"/>
          <w:szCs w:val="28"/>
        </w:rPr>
        <w:t>除非法律法规另有规定，我行将保存您的前述信息，直至您在本服务相关协议项下的权利义务全部终止或法律法规要求的更长期限（以时间孰晚者为准）。</w:t>
      </w:r>
    </w:p>
    <w:p>
      <w:pPr>
        <w:spacing w:line="360" w:lineRule="auto"/>
        <w:rPr>
          <w:rFonts w:ascii="仿宋" w:hAnsi="仿宋" w:eastAsia="仿宋" w:cs="仿宋"/>
          <w:sz w:val="24"/>
          <w:szCs w:val="28"/>
        </w:rPr>
      </w:pPr>
    </w:p>
    <w:p>
      <w:pPr>
        <w:numPr>
          <w:ilvl w:val="0"/>
          <w:numId w:val="1"/>
        </w:num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本协议的个人信息授权仅适用于本服务项下的单次交易操作。基于业务发展的需要或满足法律法规及监管要求，东莞银行可能会适时对本协议内容进行变更。一旦相关协议内容发生变更，我行将会在手机银行、个人网上银行和移动营销等线上渠道向您再次发起个人信息收集与授权，以重新签署确认变更后新协议内容的方式向您明确提示。</w:t>
      </w:r>
    </w:p>
    <w:p>
      <w:pPr>
        <w:spacing w:line="360" w:lineRule="auto"/>
        <w:ind w:left="420" w:leftChars="200"/>
        <w:rPr>
          <w:rFonts w:ascii="仿宋" w:hAnsi="仿宋" w:eastAsia="仿宋" w:cs="仿宋"/>
          <w:sz w:val="24"/>
          <w:szCs w:val="28"/>
        </w:rPr>
      </w:pPr>
    </w:p>
    <w:p>
      <w:pPr>
        <w:numPr>
          <w:ilvl w:val="0"/>
          <w:numId w:val="1"/>
        </w:num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本协议的成立、生效、履行和解释，均适用中华人民共和国法律（除香港、澳门、台湾地区法律）。因本协议引起的或与本协议有关的争议，东莞银行将与您协商解决，协商不成的，任何一方均有权向</w:t>
      </w:r>
      <w:r>
        <w:rPr>
          <w:rFonts w:hint="eastAsia" w:ascii="仿宋" w:hAnsi="仿宋" w:eastAsia="仿宋" w:cs="仿宋"/>
          <w:sz w:val="24"/>
          <w:szCs w:val="28"/>
          <w:lang w:val="en-US" w:eastAsia="zh-CN"/>
        </w:rPr>
        <w:t>东莞银行总行</w:t>
      </w:r>
      <w:r>
        <w:rPr>
          <w:rFonts w:ascii="仿宋" w:hAnsi="仿宋" w:eastAsia="仿宋" w:cs="仿宋"/>
          <w:sz w:val="24"/>
          <w:szCs w:val="28"/>
        </w:rPr>
        <w:t>住所</w:t>
      </w:r>
      <w:r>
        <w:rPr>
          <w:rFonts w:hint="eastAsia" w:ascii="仿宋" w:hAnsi="仿宋" w:eastAsia="仿宋" w:cs="仿宋"/>
          <w:sz w:val="24"/>
          <w:szCs w:val="28"/>
        </w:rPr>
        <w:t>地有管辖权的人民法院提起诉讼。在诉讼期间，本协议不涉及争议部分的条款仍须履行。</w:t>
      </w:r>
    </w:p>
    <w:p>
      <w:pPr>
        <w:spacing w:line="360" w:lineRule="auto"/>
        <w:ind w:left="420" w:leftChars="200"/>
        <w:rPr>
          <w:rFonts w:ascii="仿宋" w:hAnsi="仿宋" w:eastAsia="仿宋" w:cs="仿宋"/>
          <w:sz w:val="24"/>
          <w:szCs w:val="28"/>
        </w:rPr>
      </w:pPr>
    </w:p>
    <w:p>
      <w:pPr>
        <w:numPr>
          <w:ilvl w:val="0"/>
          <w:numId w:val="1"/>
        </w:num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您保证在办理本服务的过程中提供的个人信息均为您本人的真实信息，并确保您使用本服务的行为合法、有效，未侵犯任何第三方合法权益；否则，因此造成我行或任何第三方损失的，您应负责赔偿并承担全部法律责任。同时，您保证我行根据本服务需要对相关信息进行核实时予以积极配合。因您提供的信息错误导致的一切后果，我行将不负任何责任。</w:t>
      </w:r>
    </w:p>
    <w:p>
      <w:pPr>
        <w:spacing w:line="360" w:lineRule="auto"/>
        <w:rPr>
          <w:rFonts w:ascii="仿宋" w:hAnsi="仿宋" w:eastAsia="仿宋" w:cs="仿宋"/>
          <w:b/>
          <w:bCs/>
          <w:sz w:val="24"/>
          <w:szCs w:val="28"/>
        </w:rPr>
      </w:pPr>
    </w:p>
    <w:p>
      <w:pPr>
        <w:numPr>
          <w:ilvl w:val="0"/>
          <w:numId w:val="1"/>
        </w:num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根据相关法律法规规定，以下情形中处理您的信息无须征得您的授权同意：</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（一）与履行国家法律法规及行业主管部门有关规定的义务相关的；</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（二）与国家安全、国防安全有关的；</w:t>
      </w:r>
    </w:p>
    <w:p>
      <w:pPr>
        <w:spacing w:line="360" w:lineRule="auto"/>
        <w:ind w:firstLine="422" w:firstLineChars="175"/>
        <w:rPr>
          <w:rFonts w:hint="eastAsia" w:ascii="仿宋" w:hAnsi="仿宋" w:eastAsia="仿宋" w:cs="仿宋"/>
          <w:b/>
          <w:bCs/>
          <w:sz w:val="24"/>
          <w:szCs w:val="28"/>
          <w:lang w:eastAsia="zh-CN"/>
        </w:rPr>
      </w:pPr>
      <w:r>
        <w:rPr>
          <w:rFonts w:hint="eastAsia" w:ascii="仿宋" w:hAnsi="仿宋" w:eastAsia="仿宋" w:cs="仿宋"/>
          <w:b/>
          <w:bCs/>
          <w:sz w:val="24"/>
          <w:szCs w:val="28"/>
        </w:rPr>
        <w:t>（三）为应对突发公共卫生事件</w:t>
      </w:r>
      <w:r>
        <w:rPr>
          <w:rFonts w:hint="eastAsia" w:ascii="仿宋" w:hAnsi="仿宋" w:eastAsia="仿宋" w:cs="仿宋"/>
          <w:b/>
          <w:bCs/>
          <w:sz w:val="24"/>
          <w:szCs w:val="28"/>
          <w:lang w:eastAsia="zh-CN"/>
        </w:rPr>
        <w:t>；</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（四）紧急情况下为保护自然人的生命健康和财产安全所必需的；</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（五）与刑事侦查、起诉、审判和判决执行等有关的；</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（六）所涉及的个人信息已经向社会公众公开的；</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（七）从合法公开披露的信息中收集信息的，如合法的新闻报道、政府信息公开等渠道；</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（八）</w:t>
      </w:r>
      <w:r>
        <w:rPr>
          <w:rFonts w:hint="eastAsia" w:ascii="仿宋" w:hAnsi="仿宋" w:eastAsia="仿宋" w:cs="仿宋"/>
          <w:b/>
          <w:bCs/>
          <w:color w:val="auto"/>
          <w:spacing w:val="0"/>
          <w:sz w:val="24"/>
          <w:szCs w:val="28"/>
          <w:shd w:val="clear" w:color="auto" w:fill="auto"/>
        </w:rPr>
        <w:t>根据您要求签订和履行合同所必需的；</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（九）</w:t>
      </w:r>
      <w:r>
        <w:rPr>
          <w:rFonts w:hint="eastAsia" w:ascii="仿宋" w:hAnsi="仿宋" w:eastAsia="仿宋" w:cs="仿宋"/>
          <w:b/>
          <w:bCs/>
          <w:color w:val="auto"/>
          <w:spacing w:val="0"/>
          <w:sz w:val="24"/>
          <w:szCs w:val="28"/>
          <w:shd w:val="clear" w:color="auto" w:fill="auto"/>
        </w:rPr>
        <w:t>用于维护所提供的产品或服务的安全稳定运行所必需的，例如发现、处置产品或服务的故障；</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（十）</w:t>
      </w:r>
      <w:r>
        <w:rPr>
          <w:rFonts w:hint="eastAsia" w:ascii="仿宋" w:hAnsi="仿宋" w:eastAsia="仿宋" w:cs="仿宋"/>
          <w:b/>
          <w:bCs/>
          <w:color w:val="auto"/>
          <w:spacing w:val="0"/>
          <w:sz w:val="24"/>
          <w:szCs w:val="28"/>
          <w:shd w:val="clear" w:color="auto" w:fill="auto"/>
        </w:rPr>
        <w:t>出于公共利益开展统计或学术研究所必需，且其对外提供学术研究或描述的结果时，对结果中所包含的个人信息进行去标识化处理的；</w:t>
      </w:r>
    </w:p>
    <w:p>
      <w:pPr>
        <w:spacing w:line="360" w:lineRule="auto"/>
        <w:ind w:firstLine="422" w:firstLineChars="175"/>
        <w:rPr>
          <w:rFonts w:ascii="仿宋" w:hAnsi="仿宋" w:eastAsia="仿宋" w:cs="仿宋"/>
          <w:b/>
          <w:bCs/>
          <w:sz w:val="24"/>
          <w:szCs w:val="28"/>
        </w:rPr>
      </w:pPr>
      <w:r>
        <w:rPr>
          <w:rFonts w:hint="eastAsia" w:ascii="仿宋" w:hAnsi="仿宋" w:eastAsia="仿宋" w:cs="仿宋"/>
          <w:b/>
          <w:bCs/>
          <w:sz w:val="24"/>
          <w:szCs w:val="28"/>
        </w:rPr>
        <w:t>（十一）法律法规及监管要求规定的其他情形。</w:t>
      </w:r>
    </w:p>
    <w:p>
      <w:pPr>
        <w:spacing w:line="360" w:lineRule="auto"/>
        <w:rPr>
          <w:rFonts w:ascii="仿宋" w:hAnsi="仿宋" w:eastAsia="仿宋" w:cs="仿宋"/>
          <w:b/>
          <w:bCs/>
          <w:sz w:val="24"/>
          <w:szCs w:val="28"/>
        </w:rPr>
      </w:pPr>
    </w:p>
    <w:p>
      <w:pPr>
        <w:numPr>
          <w:ilvl w:val="0"/>
          <w:numId w:val="1"/>
        </w:num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我行已充分提请您注意本协议项下免除或限制我行责任的条款，并对其予以充分说明，您已仔细阅读了《东莞银行实物贵金属产品线上服务个人信息授权协议》，对本协议条款的含义及相应的法律后果已全部知晓并充分理解，愿意遵守其全部内容。本协议自您在东莞银行电子渠道（个人网上银行、手机银行、移动营销等）相应页面点击同意协议并确认购买的按钮，即表示您知悉、理解、同意本协议的全部内容，并授权东莞银行按本</w:t>
      </w:r>
      <w:r>
        <w:rPr>
          <w:rFonts w:hint="eastAsia" w:ascii="仿宋" w:hAnsi="仿宋" w:eastAsia="仿宋" w:cs="仿宋"/>
          <w:b/>
          <w:bCs/>
          <w:sz w:val="24"/>
          <w:szCs w:val="28"/>
          <w:lang w:val="en-US" w:eastAsia="zh-CN"/>
        </w:rPr>
        <w:t>协议</w:t>
      </w:r>
      <w:r>
        <w:rPr>
          <w:rFonts w:hint="eastAsia" w:ascii="仿宋" w:hAnsi="仿宋" w:eastAsia="仿宋" w:cs="仿宋"/>
          <w:b/>
          <w:bCs/>
          <w:sz w:val="24"/>
          <w:szCs w:val="28"/>
        </w:rPr>
        <w:t>处理您的个人信息，本</w:t>
      </w:r>
      <w:r>
        <w:rPr>
          <w:rFonts w:hint="eastAsia" w:ascii="仿宋" w:hAnsi="仿宋" w:eastAsia="仿宋" w:cs="仿宋"/>
          <w:b/>
          <w:bCs/>
          <w:sz w:val="24"/>
          <w:szCs w:val="28"/>
          <w:lang w:val="en-US" w:eastAsia="zh-CN"/>
        </w:rPr>
        <w:t>协议</w:t>
      </w:r>
      <w:r>
        <w:rPr>
          <w:rFonts w:hint="eastAsia" w:ascii="仿宋" w:hAnsi="仿宋" w:eastAsia="仿宋" w:cs="仿宋"/>
          <w:b/>
          <w:bCs/>
          <w:sz w:val="24"/>
          <w:szCs w:val="28"/>
        </w:rPr>
        <w:t>对您及东莞银行具有法律约束力。</w:t>
      </w:r>
    </w:p>
    <w:p>
      <w:pPr>
        <w:numPr>
          <w:ilvl w:val="255"/>
          <w:numId w:val="0"/>
        </w:numPr>
        <w:spacing w:line="360" w:lineRule="auto"/>
        <w:ind w:left="420" w:leftChars="200" w:firstLine="0" w:firstLineChars="0"/>
        <w:rPr>
          <w:rFonts w:ascii="仿宋" w:hAnsi="仿宋" w:eastAsia="仿宋" w:cs="仿宋"/>
          <w:b/>
          <w:bCs/>
          <w:sz w:val="24"/>
          <w:szCs w:val="28"/>
        </w:rPr>
      </w:pPr>
    </w:p>
    <w:p>
      <w:pPr>
        <w:numPr>
          <w:ilvl w:val="0"/>
          <w:numId w:val="1"/>
        </w:num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本协议上述的实物贵金属产品线上服务的相关定义以《东莞银行实物贵金属产品代理销售服务协议》的约定为准。</w:t>
      </w:r>
    </w:p>
    <w:p>
      <w:pPr>
        <w:spacing w:line="360" w:lineRule="auto"/>
        <w:rPr>
          <w:rFonts w:ascii="仿宋" w:hAnsi="仿宋" w:eastAsia="仿宋" w:cs="仿宋"/>
          <w:sz w:val="24"/>
          <w:szCs w:val="28"/>
        </w:rPr>
      </w:pPr>
    </w:p>
    <w:p>
      <w:pPr>
        <w:spacing w:line="360" w:lineRule="auto"/>
        <w:rPr>
          <w:rFonts w:ascii="仿宋" w:hAnsi="仿宋" w:eastAsia="仿宋" w:cs="仿宋"/>
          <w:sz w:val="24"/>
          <w:szCs w:val="28"/>
        </w:rPr>
      </w:pP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附件：我行代销实物贵金属合作供应商联系方式</w:t>
      </w:r>
    </w:p>
    <w:p>
      <w:pPr>
        <w:pStyle w:val="7"/>
        <w:numPr>
          <w:ilvl w:val="0"/>
          <w:numId w:val="2"/>
        </w:numPr>
        <w:spacing w:line="360" w:lineRule="auto"/>
        <w:ind w:firstLine="415" w:firstLineChars="0"/>
        <w:rPr>
          <w:rFonts w:ascii="仿宋" w:hAnsi="仿宋" w:eastAsia="仿宋" w:cs="仿宋"/>
          <w:sz w:val="24"/>
          <w:szCs w:val="28"/>
          <w:highlight w:val="none"/>
        </w:rPr>
      </w:pPr>
      <w:r>
        <w:rPr>
          <w:rFonts w:hint="eastAsia" w:ascii="仿宋" w:hAnsi="仿宋" w:eastAsia="仿宋" w:cs="仿宋"/>
          <w:sz w:val="24"/>
          <w:szCs w:val="28"/>
          <w:highlight w:val="none"/>
        </w:rPr>
        <w:t>东莞市完美黄金珠宝首饰有限公司  0769-83527188</w:t>
      </w:r>
    </w:p>
    <w:p>
      <w:pPr>
        <w:pStyle w:val="7"/>
        <w:numPr>
          <w:ilvl w:val="0"/>
          <w:numId w:val="2"/>
        </w:numPr>
        <w:spacing w:line="360" w:lineRule="auto"/>
        <w:ind w:firstLine="415" w:firstLineChars="0"/>
        <w:rPr>
          <w:rFonts w:ascii="仿宋" w:hAnsi="仿宋" w:eastAsia="仿宋" w:cs="仿宋"/>
          <w:sz w:val="24"/>
          <w:szCs w:val="28"/>
        </w:rPr>
      </w:pPr>
      <w:r>
        <w:rPr>
          <w:rFonts w:hint="eastAsia" w:ascii="仿宋" w:hAnsi="仿宋" w:eastAsia="仿宋" w:cs="仿宋"/>
          <w:sz w:val="24"/>
          <w:szCs w:val="28"/>
          <w:highlight w:val="none"/>
        </w:rPr>
        <w:t xml:space="preserve">深圳市国富黄金股份有限公司  </w:t>
      </w:r>
      <w:r>
        <w:rPr>
          <w:rFonts w:hint="eastAsia" w:ascii="仿宋" w:hAnsi="仿宋" w:eastAsia="仿宋" w:cs="仿宋"/>
          <w:sz w:val="24"/>
          <w:szCs w:val="28"/>
          <w:highlight w:val="none"/>
          <w:lang w:val="en-US" w:eastAsia="zh-CN"/>
        </w:rPr>
        <w:t>400-051-8981</w:t>
      </w:r>
    </w:p>
    <w:p>
      <w:pPr>
        <w:pStyle w:val="7"/>
        <w:numPr>
          <w:ilvl w:val="0"/>
          <w:numId w:val="2"/>
        </w:numPr>
        <w:spacing w:line="360" w:lineRule="auto"/>
        <w:ind w:firstLine="415" w:firstLineChars="0"/>
        <w:rPr>
          <w:rFonts w:ascii="仿宋" w:hAnsi="仿宋" w:eastAsia="仿宋" w:cs="仿宋"/>
          <w:sz w:val="24"/>
          <w:szCs w:val="28"/>
        </w:rPr>
      </w:pPr>
      <w:r>
        <w:rPr>
          <w:rFonts w:hint="eastAsia" w:ascii="仿宋" w:hAnsi="仿宋" w:eastAsia="仿宋" w:cs="仿宋"/>
          <w:sz w:val="24"/>
          <w:szCs w:val="28"/>
        </w:rPr>
        <w:t>深圳中金国礼文化金投资管理有限公司  0755-</w:t>
      </w:r>
      <w:r>
        <w:rPr>
          <w:rFonts w:hint="eastAsia" w:ascii="仿宋" w:hAnsi="仿宋" w:eastAsia="仿宋" w:cs="仿宋"/>
          <w:sz w:val="24"/>
          <w:szCs w:val="28"/>
          <w:lang w:val="en-US" w:eastAsia="zh-CN"/>
        </w:rPr>
        <w:t>82608781</w:t>
      </w:r>
    </w:p>
    <w:p>
      <w:pPr>
        <w:pStyle w:val="7"/>
        <w:numPr>
          <w:ilvl w:val="0"/>
          <w:numId w:val="2"/>
        </w:numPr>
        <w:spacing w:line="360" w:lineRule="auto"/>
        <w:ind w:firstLine="415" w:firstLineChars="0"/>
        <w:rPr>
          <w:rFonts w:ascii="仿宋" w:hAnsi="仿宋" w:eastAsia="仿宋" w:cs="仿宋"/>
          <w:sz w:val="24"/>
          <w:szCs w:val="28"/>
        </w:rPr>
      </w:pPr>
      <w:r>
        <w:rPr>
          <w:rFonts w:hint="eastAsia" w:ascii="仿宋" w:hAnsi="仿宋" w:eastAsia="仿宋" w:cs="仿宋"/>
          <w:sz w:val="24"/>
          <w:szCs w:val="28"/>
          <w:lang w:val="en-US" w:eastAsia="zh-CN"/>
        </w:rPr>
        <w:t>深圳市金雅福首饰制造有限公司</w:t>
      </w:r>
      <w:r>
        <w:rPr>
          <w:rFonts w:hint="eastAsia" w:ascii="仿宋" w:hAnsi="仿宋" w:eastAsia="仿宋" w:cs="仿宋"/>
          <w:sz w:val="24"/>
          <w:szCs w:val="28"/>
        </w:rPr>
        <w:t xml:space="preserve">  </w:t>
      </w:r>
      <w:r>
        <w:rPr>
          <w:rFonts w:hint="eastAsia" w:ascii="仿宋" w:hAnsi="仿宋" w:eastAsia="仿宋" w:cs="仿宋"/>
          <w:sz w:val="24"/>
          <w:szCs w:val="28"/>
          <w:lang w:val="en-US" w:eastAsia="zh-CN"/>
        </w:rPr>
        <w:t>400-861-7997</w:t>
      </w:r>
    </w:p>
    <w:p>
      <w:pPr>
        <w:pStyle w:val="7"/>
        <w:numPr>
          <w:ilvl w:val="0"/>
          <w:numId w:val="2"/>
        </w:numPr>
        <w:spacing w:line="360" w:lineRule="auto"/>
        <w:ind w:firstLine="415" w:firstLineChars="0"/>
        <w:rPr>
          <w:rFonts w:ascii="仿宋" w:hAnsi="仿宋" w:eastAsia="仿宋" w:cs="仿宋"/>
          <w:sz w:val="24"/>
          <w:szCs w:val="28"/>
        </w:rPr>
      </w:pPr>
      <w:r>
        <w:rPr>
          <w:rFonts w:hint="eastAsia" w:ascii="仿宋" w:hAnsi="仿宋" w:eastAsia="仿宋" w:cs="仿宋"/>
          <w:sz w:val="24"/>
          <w:szCs w:val="28"/>
          <w:lang w:val="en-US" w:eastAsia="zh-CN"/>
        </w:rPr>
        <w:t>深圳中国金币经销中心有限公司  400-888-3111</w:t>
      </w:r>
    </w:p>
    <w:p>
      <w:pPr>
        <w:pStyle w:val="7"/>
        <w:numPr>
          <w:ilvl w:val="0"/>
          <w:numId w:val="2"/>
        </w:numPr>
        <w:spacing w:line="360" w:lineRule="auto"/>
        <w:ind w:firstLine="415" w:firstLineChars="0"/>
        <w:rPr>
          <w:rFonts w:ascii="仿宋" w:hAnsi="仿宋" w:eastAsia="仿宋" w:cs="仿宋"/>
          <w:sz w:val="24"/>
          <w:szCs w:val="28"/>
          <w:highlight w:val="none"/>
        </w:rPr>
      </w:pPr>
      <w:r>
        <w:rPr>
          <w:rFonts w:hint="eastAsia" w:ascii="仿宋" w:hAnsi="仿宋" w:eastAsia="仿宋" w:cs="仿宋"/>
          <w:sz w:val="24"/>
          <w:szCs w:val="28"/>
          <w:highlight w:val="none"/>
          <w:lang w:val="en-US" w:eastAsia="zh-CN"/>
        </w:rPr>
        <w:t>紫金矿业集团黄金珠宝有限公司  400-880-3850</w:t>
      </w:r>
    </w:p>
    <w:p>
      <w:pPr>
        <w:pStyle w:val="7"/>
        <w:spacing w:line="360" w:lineRule="auto"/>
        <w:ind w:firstLine="0" w:firstLineChars="0"/>
        <w:rPr>
          <w:rFonts w:ascii="仿宋" w:hAnsi="仿宋" w:eastAsia="仿宋" w:cs="仿宋"/>
          <w:sz w:val="24"/>
          <w:szCs w:val="28"/>
        </w:rPr>
      </w:pPr>
    </w:p>
    <w:p>
      <w:pPr>
        <w:pStyle w:val="7"/>
        <w:spacing w:line="360" w:lineRule="auto"/>
        <w:ind w:firstLine="0" w:firstLineChars="0"/>
        <w:jc w:val="center"/>
        <w:rPr>
          <w:rFonts w:hint="eastAsia" w:ascii="仿宋" w:hAnsi="仿宋" w:eastAsia="仿宋" w:cs="仿宋"/>
          <w:sz w:val="24"/>
          <w:szCs w:val="28"/>
        </w:rPr>
      </w:pPr>
      <w:r>
        <w:rPr>
          <w:rFonts w:hint="eastAsia" w:ascii="仿宋" w:hAnsi="仿宋" w:eastAsia="仿宋" w:cs="仿宋"/>
          <w:sz w:val="24"/>
          <w:szCs w:val="28"/>
        </w:rPr>
        <w:t>（以下无正文，为协议签署部分）</w:t>
      </w:r>
    </w:p>
    <w:p>
      <w:pPr>
        <w:pStyle w:val="7"/>
        <w:spacing w:line="360" w:lineRule="auto"/>
        <w:ind w:firstLine="0" w:firstLineChars="0"/>
        <w:rPr>
          <w:rFonts w:ascii="仿宋" w:hAnsi="仿宋" w:eastAsia="仿宋" w:cs="仿宋"/>
          <w:sz w:val="24"/>
          <w:szCs w:val="28"/>
        </w:rPr>
      </w:pPr>
    </w:p>
    <w:p>
      <w:pPr>
        <w:pStyle w:val="7"/>
        <w:spacing w:line="360" w:lineRule="auto"/>
        <w:ind w:firstLine="0" w:firstLineChars="0"/>
        <w:rPr>
          <w:rFonts w:ascii="仿宋" w:hAnsi="仿宋" w:eastAsia="仿宋" w:cs="仿宋"/>
          <w:sz w:val="24"/>
          <w:szCs w:val="28"/>
        </w:rPr>
      </w:pPr>
    </w:p>
    <w:p>
      <w:pPr>
        <w:ind w:left="140" w:hanging="140" w:hangingChars="58"/>
        <w:jc w:val="left"/>
        <w:rPr>
          <w:rFonts w:ascii="仿宋" w:hAnsi="仿宋" w:eastAsia="仿宋" w:cs="仿宋"/>
          <w:b/>
          <w:bCs/>
          <w:sz w:val="24"/>
          <w:szCs w:val="24"/>
        </w:rPr>
      </w:pPr>
      <w:r>
        <w:rPr>
          <w:rFonts w:hint="eastAsia" w:ascii="仿宋" w:hAnsi="仿宋" w:eastAsia="仿宋" w:cs="仿宋"/>
          <w:b/>
          <w:bCs/>
          <w:sz w:val="24"/>
          <w:szCs w:val="24"/>
        </w:rPr>
        <w:t>甲方：_________                          乙方：东莞银行股份有限公司</w:t>
      </w:r>
    </w:p>
    <w:p>
      <w:pPr>
        <w:ind w:left="140" w:hanging="140" w:hangingChars="58"/>
        <w:jc w:val="left"/>
        <w:rPr>
          <w:rFonts w:ascii="仿宋" w:hAnsi="仿宋" w:eastAsia="仿宋" w:cs="仿宋"/>
          <w:b/>
          <w:bCs/>
          <w:sz w:val="24"/>
          <w:szCs w:val="24"/>
        </w:rPr>
      </w:pPr>
    </w:p>
    <w:p>
      <w:pPr>
        <w:ind w:left="140" w:hanging="140" w:hangingChars="58"/>
        <w:jc w:val="left"/>
        <w:rPr>
          <w:rFonts w:ascii="仿宋" w:hAnsi="仿宋" w:eastAsia="仿宋" w:cs="仿宋"/>
          <w:b/>
          <w:bCs/>
          <w:sz w:val="24"/>
          <w:szCs w:val="24"/>
        </w:rPr>
      </w:pPr>
    </w:p>
    <w:p>
      <w:pPr>
        <w:ind w:left="140" w:hanging="140" w:hangingChars="58"/>
        <w:jc w:val="left"/>
        <w:rPr>
          <w:rFonts w:ascii="仿宋" w:hAnsi="仿宋" w:eastAsia="仿宋" w:cs="仿宋"/>
          <w:b/>
          <w:bCs/>
          <w:sz w:val="24"/>
          <w:szCs w:val="24"/>
        </w:rPr>
      </w:pPr>
      <w:r>
        <w:rPr>
          <w:rFonts w:hint="eastAsia" w:ascii="仿宋" w:hAnsi="仿宋" w:eastAsia="仿宋" w:cs="仿宋"/>
          <w:b/>
          <w:bCs/>
          <w:sz w:val="24"/>
          <w:szCs w:val="24"/>
        </w:rPr>
        <w:t>签署日期：</w:t>
      </w:r>
    </w:p>
    <w:p>
      <w:pPr>
        <w:pStyle w:val="7"/>
        <w:spacing w:line="360" w:lineRule="auto"/>
        <w:ind w:firstLine="0" w:firstLineChars="0"/>
        <w:rPr>
          <w:rFonts w:ascii="仿宋" w:hAnsi="仿宋" w:eastAsia="仿宋" w:cs="仿宋"/>
          <w:sz w:val="24"/>
          <w:szCs w:val="28"/>
        </w:rPr>
      </w:pPr>
    </w:p>
    <w:sectPr>
      <w:pgSz w:w="11906" w:h="16838"/>
      <w:pgMar w:top="1440" w:right="14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DB9B20"/>
    <w:multiLevelType w:val="singleLevel"/>
    <w:tmpl w:val="57DB9B20"/>
    <w:lvl w:ilvl="0" w:tentative="0">
      <w:start w:val="1"/>
      <w:numFmt w:val="chineseCounting"/>
      <w:suff w:val="nothing"/>
      <w:lvlText w:val="%1、"/>
      <w:lvlJc w:val="left"/>
      <w:rPr>
        <w:rFonts w:hint="eastAsia"/>
      </w:rPr>
    </w:lvl>
  </w:abstractNum>
  <w:abstractNum w:abstractNumId="1">
    <w:nsid w:val="7E1B4896"/>
    <w:multiLevelType w:val="singleLevel"/>
    <w:tmpl w:val="7E1B4896"/>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NjMTkxOGY2MzZkNjZmNWRmMWU1NzkxZTg1ZTUwNDUifQ=="/>
    <w:docVar w:name="KGWebUrl" w:val="http://180.2.158.2:8088/sys/attachment/sys_att_main/jg_service.jsp"/>
  </w:docVars>
  <w:rsids>
    <w:rsidRoot w:val="00E537F4"/>
    <w:rsid w:val="0004179C"/>
    <w:rsid w:val="000A0C7D"/>
    <w:rsid w:val="000B6B5E"/>
    <w:rsid w:val="000F1102"/>
    <w:rsid w:val="001E6768"/>
    <w:rsid w:val="0026254C"/>
    <w:rsid w:val="004B195C"/>
    <w:rsid w:val="00680CC0"/>
    <w:rsid w:val="009D2D94"/>
    <w:rsid w:val="00A43F89"/>
    <w:rsid w:val="00BE6BEE"/>
    <w:rsid w:val="00C57722"/>
    <w:rsid w:val="00DD619A"/>
    <w:rsid w:val="00E537F4"/>
    <w:rsid w:val="00ED15F3"/>
    <w:rsid w:val="084C5496"/>
    <w:rsid w:val="09FF7E5C"/>
    <w:rsid w:val="0BB06FBC"/>
    <w:rsid w:val="0E4E5940"/>
    <w:rsid w:val="11D032DA"/>
    <w:rsid w:val="144D63CB"/>
    <w:rsid w:val="145517A8"/>
    <w:rsid w:val="154B50D6"/>
    <w:rsid w:val="17AA3407"/>
    <w:rsid w:val="20445F6A"/>
    <w:rsid w:val="21485C17"/>
    <w:rsid w:val="24E76918"/>
    <w:rsid w:val="25BA1067"/>
    <w:rsid w:val="264B04B2"/>
    <w:rsid w:val="285478B9"/>
    <w:rsid w:val="28C05DB3"/>
    <w:rsid w:val="28CF5BE6"/>
    <w:rsid w:val="2F984AAB"/>
    <w:rsid w:val="35D5251A"/>
    <w:rsid w:val="38484B84"/>
    <w:rsid w:val="3B9343E9"/>
    <w:rsid w:val="3BA831A9"/>
    <w:rsid w:val="3BC33E98"/>
    <w:rsid w:val="3E9F5549"/>
    <w:rsid w:val="40562C72"/>
    <w:rsid w:val="443000AC"/>
    <w:rsid w:val="461E37DB"/>
    <w:rsid w:val="49D26377"/>
    <w:rsid w:val="4D7100D7"/>
    <w:rsid w:val="4DA74194"/>
    <w:rsid w:val="4DF411B9"/>
    <w:rsid w:val="4F93631E"/>
    <w:rsid w:val="518638E5"/>
    <w:rsid w:val="5217023B"/>
    <w:rsid w:val="54ED247B"/>
    <w:rsid w:val="595777F7"/>
    <w:rsid w:val="65D961E4"/>
    <w:rsid w:val="67066422"/>
    <w:rsid w:val="67AA12D5"/>
    <w:rsid w:val="686E22FE"/>
    <w:rsid w:val="6CF72801"/>
    <w:rsid w:val="6E675BAD"/>
    <w:rsid w:val="733C0072"/>
    <w:rsid w:val="74373712"/>
    <w:rsid w:val="792333BB"/>
    <w:rsid w:val="7A065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semiHidden/>
    <w:unhideWhenUsed/>
    <w:qFormat/>
    <w:uiPriority w:val="99"/>
    <w:pPr>
      <w:jc w:val="left"/>
    </w:pPr>
  </w:style>
  <w:style w:type="paragraph" w:styleId="3">
    <w:name w:val="annotation subject"/>
    <w:basedOn w:val="2"/>
    <w:next w:val="2"/>
    <w:link w:val="10"/>
    <w:semiHidden/>
    <w:unhideWhenUsed/>
    <w:qFormat/>
    <w:uiPriority w:val="99"/>
    <w:rPr>
      <w:b/>
      <w:bCs/>
    </w:rPr>
  </w:style>
  <w:style w:type="character" w:styleId="6">
    <w:name w:val="annotation reference"/>
    <w:basedOn w:val="5"/>
    <w:semiHidden/>
    <w:unhideWhenUsed/>
    <w:qFormat/>
    <w:uiPriority w:val="99"/>
    <w:rPr>
      <w:sz w:val="21"/>
      <w:szCs w:val="21"/>
    </w:rPr>
  </w:style>
  <w:style w:type="paragraph" w:styleId="7">
    <w:name w:val="List Paragraph"/>
    <w:basedOn w:val="1"/>
    <w:qFormat/>
    <w:uiPriority w:val="34"/>
    <w:pPr>
      <w:ind w:firstLine="420" w:firstLineChars="200"/>
    </w:pPr>
  </w:style>
  <w:style w:type="paragraph" w:customStyle="1" w:styleId="8">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9">
    <w:name w:val="批注文字 字符"/>
    <w:basedOn w:val="5"/>
    <w:link w:val="2"/>
    <w:semiHidden/>
    <w:qFormat/>
    <w:uiPriority w:val="99"/>
    <w:rPr>
      <w:kern w:val="2"/>
      <w:sz w:val="21"/>
      <w:szCs w:val="22"/>
    </w:rPr>
  </w:style>
  <w:style w:type="character" w:customStyle="1" w:styleId="10">
    <w:name w:val="批注主题 字符"/>
    <w:basedOn w:val="9"/>
    <w:link w:val="3"/>
    <w:semiHidden/>
    <w:qFormat/>
    <w:uiPriority w:val="99"/>
    <w:rPr>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379</Words>
  <Characters>2165</Characters>
  <Lines>18</Lines>
  <Paragraphs>5</Paragraphs>
  <TotalTime>71</TotalTime>
  <ScaleCrop>false</ScaleCrop>
  <LinksUpToDate>false</LinksUpToDate>
  <CharactersWithSpaces>2539</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2023-06-06T07:10:00Z</dcterms:created>
  <dc:creator>晓勇 杨</dc:creator>
  <cp:lastModifiedBy>杨晓勇</cp:lastModifiedBy>
  <dcterms:modified xsi:type="dcterms:W3CDTF">2025-06-13T01:34:43Z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C78F232A57504AA1B8C6E3459BECA56F</vt:lpwstr>
  </property>
</Properties>
</file>