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0" w:after="240" w:line="360" w:lineRule="exact"/>
        <w:jc w:val="center"/>
        <w:rPr>
          <w:rFonts w:hint="eastAsia" w:ascii="黑体" w:hAnsi="黑体" w:eastAsia="黑体" w:cs="黑体"/>
          <w:b/>
          <w:bCs/>
          <w:color w:val="000000"/>
          <w:kern w:val="32"/>
          <w:sz w:val="22"/>
          <w:szCs w:val="22"/>
        </w:rPr>
      </w:pPr>
      <w:r>
        <w:rPr>
          <w:rFonts w:hint="eastAsia" w:ascii="黑体" w:hAnsi="黑体" w:eastAsia="黑体" w:cs="黑体"/>
          <w:b/>
          <w:bCs/>
          <w:color w:val="000000"/>
          <w:kern w:val="32"/>
          <w:sz w:val="40"/>
          <w:szCs w:val="40"/>
        </w:rPr>
        <w:t>东莞银行</w:t>
      </w:r>
      <w:r>
        <w:rPr>
          <w:rFonts w:hint="eastAsia" w:ascii="黑体" w:hAnsi="黑体" w:eastAsia="黑体" w:cs="黑体"/>
          <w:b/>
          <w:bCs/>
          <w:color w:val="000000"/>
          <w:kern w:val="32"/>
          <w:sz w:val="40"/>
          <w:szCs w:val="40"/>
          <w:lang w:eastAsia="zh-CN"/>
        </w:rPr>
        <w:t>理财产品</w:t>
      </w:r>
      <w:r>
        <w:rPr>
          <w:rFonts w:hint="eastAsia" w:ascii="黑体" w:hAnsi="黑体" w:eastAsia="黑体" w:cs="黑体"/>
          <w:b/>
          <w:bCs/>
          <w:color w:val="000000"/>
          <w:kern w:val="32"/>
          <w:sz w:val="40"/>
          <w:szCs w:val="40"/>
        </w:rPr>
        <w:t>交易类业务协议书</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1"/>
        <w:gridCol w:w="4394"/>
        <w:gridCol w:w="1276"/>
        <w:gridCol w:w="281"/>
        <w:gridCol w:w="281"/>
        <w:gridCol w:w="281"/>
        <w:gridCol w:w="281"/>
        <w:gridCol w:w="281"/>
        <w:gridCol w:w="281"/>
        <w:gridCol w:w="281"/>
        <w:gridCol w:w="281"/>
        <w:gridCol w:w="281"/>
        <w:gridCol w:w="281"/>
        <w:gridCol w:w="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jc w:val="center"/>
        </w:trPr>
        <w:tc>
          <w:tcPr>
            <w:tcW w:w="10723" w:type="dxa"/>
            <w:gridSpan w:val="14"/>
            <w:noWrap w:val="0"/>
            <w:vAlign w:val="center"/>
          </w:tcPr>
          <w:p>
            <w:pPr>
              <w:spacing w:line="440" w:lineRule="exact"/>
              <w:jc w:val="center"/>
              <w:rPr>
                <w:rFonts w:hint="eastAsia" w:ascii="黑体" w:hAnsi="黑体" w:eastAsia="黑体" w:cs="黑体"/>
                <w:bCs/>
                <w:color w:val="000000"/>
                <w:sz w:val="21"/>
                <w:szCs w:val="21"/>
              </w:rPr>
            </w:pPr>
            <w:r>
              <w:rPr>
                <w:rFonts w:hint="eastAsia" w:ascii="黑体" w:hAnsi="黑体" w:eastAsia="黑体" w:cs="黑体"/>
                <w:bCs/>
                <w:color w:val="000000"/>
                <w:sz w:val="21"/>
                <w:szCs w:val="21"/>
              </w:rPr>
              <w:t>银行打印栏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8" w:hRule="atLeast"/>
          <w:jc w:val="center"/>
        </w:trPr>
        <w:tc>
          <w:tcPr>
            <w:tcW w:w="10723" w:type="dxa"/>
            <w:gridSpan w:val="14"/>
            <w:noWrap w:val="0"/>
            <w:vAlign w:val="center"/>
          </w:tcPr>
          <w:p>
            <w:pPr>
              <w:pStyle w:val="7"/>
              <w:pBdr>
                <w:bottom w:val="none" w:color="auto" w:sz="0" w:space="0"/>
              </w:pBdr>
              <w:spacing w:line="400" w:lineRule="exact"/>
              <w:jc w:val="both"/>
              <w:rPr>
                <w:rFonts w:hint="eastAsia" w:ascii="黑体" w:hAnsi="黑体" w:eastAsia="黑体" w:cs="黑体"/>
                <w:b/>
                <w:bCs/>
                <w:color w:val="000000"/>
                <w:kern w:val="2"/>
                <w:sz w:val="21"/>
                <w:szCs w:val="21"/>
              </w:rPr>
            </w:pPr>
          </w:p>
          <w:p>
            <w:pPr>
              <w:pStyle w:val="7"/>
              <w:pBdr>
                <w:bottom w:val="none" w:color="auto" w:sz="0" w:space="0"/>
              </w:pBdr>
              <w:spacing w:line="400" w:lineRule="exact"/>
              <w:jc w:val="both"/>
              <w:rPr>
                <w:rFonts w:hint="eastAsia" w:ascii="黑体" w:hAnsi="黑体" w:eastAsia="黑体" w:cs="黑体"/>
                <w:b/>
                <w:bCs/>
                <w:color w:val="000000"/>
                <w:kern w:val="2"/>
                <w:sz w:val="21"/>
                <w:szCs w:val="21"/>
              </w:rPr>
            </w:pPr>
          </w:p>
          <w:p>
            <w:pPr>
              <w:pStyle w:val="7"/>
              <w:pBdr>
                <w:bottom w:val="none" w:color="auto" w:sz="0" w:space="0"/>
              </w:pBdr>
              <w:spacing w:line="400" w:lineRule="exact"/>
              <w:jc w:val="both"/>
              <w:rPr>
                <w:rFonts w:hint="eastAsia" w:ascii="黑体" w:hAnsi="黑体" w:eastAsia="黑体" w:cs="黑体"/>
                <w:b/>
                <w:bCs/>
                <w:color w:val="000000"/>
                <w:kern w:val="2"/>
                <w:sz w:val="21"/>
                <w:szCs w:val="21"/>
              </w:rPr>
            </w:pPr>
          </w:p>
          <w:p>
            <w:pPr>
              <w:pStyle w:val="7"/>
              <w:pBdr>
                <w:bottom w:val="none" w:color="auto" w:sz="0" w:space="0"/>
              </w:pBdr>
              <w:spacing w:line="400" w:lineRule="exact"/>
              <w:jc w:val="both"/>
              <w:rPr>
                <w:rFonts w:hint="eastAsia" w:ascii="黑体" w:hAnsi="黑体" w:eastAsia="黑体" w:cs="黑体"/>
                <w:b/>
                <w:bCs/>
                <w:color w:val="000000"/>
                <w:kern w:val="2"/>
                <w:sz w:val="21"/>
                <w:szCs w:val="21"/>
              </w:rPr>
            </w:pPr>
          </w:p>
          <w:p>
            <w:pPr>
              <w:pStyle w:val="7"/>
              <w:pBdr>
                <w:bottom w:val="none" w:color="auto" w:sz="0" w:space="0"/>
              </w:pBdr>
              <w:spacing w:line="400" w:lineRule="exact"/>
              <w:jc w:val="both"/>
              <w:rPr>
                <w:rFonts w:hint="eastAsia" w:ascii="黑体" w:hAnsi="黑体" w:eastAsia="黑体" w:cs="黑体"/>
                <w:b/>
                <w:bCs/>
                <w:color w:val="000000"/>
                <w:kern w:val="2"/>
                <w:sz w:val="21"/>
                <w:szCs w:val="21"/>
              </w:rPr>
            </w:pPr>
          </w:p>
          <w:p>
            <w:pPr>
              <w:pStyle w:val="7"/>
              <w:pBdr>
                <w:bottom w:val="none" w:color="auto" w:sz="0" w:space="0"/>
              </w:pBdr>
              <w:spacing w:line="400" w:lineRule="exact"/>
              <w:jc w:val="both"/>
              <w:rPr>
                <w:rFonts w:hint="eastAsia" w:ascii="黑体" w:hAnsi="黑体" w:eastAsia="黑体" w:cs="黑体"/>
                <w:b/>
                <w:bCs/>
                <w:color w:val="000000"/>
                <w:kern w:val="2"/>
                <w:sz w:val="21"/>
                <w:szCs w:val="21"/>
              </w:rPr>
            </w:pPr>
          </w:p>
          <w:p>
            <w:pPr>
              <w:pStyle w:val="7"/>
              <w:pBdr>
                <w:bottom w:val="none" w:color="auto" w:sz="0" w:space="0"/>
              </w:pBdr>
              <w:spacing w:line="400" w:lineRule="exact"/>
              <w:jc w:val="both"/>
              <w:rPr>
                <w:rFonts w:hint="eastAsia" w:ascii="黑体" w:hAnsi="黑体" w:eastAsia="黑体" w:cs="黑体"/>
                <w:b/>
                <w:bCs/>
                <w:color w:val="000000"/>
                <w:kern w:val="2"/>
                <w:sz w:val="21"/>
                <w:szCs w:val="21"/>
              </w:rPr>
            </w:pPr>
          </w:p>
          <w:p>
            <w:pPr>
              <w:pStyle w:val="7"/>
              <w:pBdr>
                <w:bottom w:val="none" w:color="auto" w:sz="0" w:space="0"/>
              </w:pBdr>
              <w:spacing w:line="400" w:lineRule="exact"/>
              <w:jc w:val="both"/>
              <w:rPr>
                <w:rFonts w:hint="eastAsia" w:ascii="黑体" w:hAnsi="黑体" w:eastAsia="黑体" w:cs="黑体"/>
                <w:b/>
                <w:bCs/>
                <w:color w:val="000000"/>
                <w:kern w:val="2"/>
                <w:sz w:val="21"/>
                <w:szCs w:val="21"/>
              </w:rPr>
            </w:pPr>
          </w:p>
          <w:p>
            <w:pPr>
              <w:pStyle w:val="7"/>
              <w:pBdr>
                <w:bottom w:val="none" w:color="auto" w:sz="0" w:space="0"/>
              </w:pBdr>
              <w:spacing w:line="400" w:lineRule="exact"/>
              <w:jc w:val="both"/>
              <w:rPr>
                <w:rFonts w:hint="eastAsia" w:ascii="黑体" w:hAnsi="黑体" w:eastAsia="黑体" w:cs="黑体"/>
                <w:b/>
                <w:bCs/>
                <w:color w:val="000000"/>
                <w:kern w:val="2"/>
                <w:sz w:val="21"/>
                <w:szCs w:val="21"/>
              </w:rPr>
            </w:pPr>
          </w:p>
          <w:p>
            <w:pPr>
              <w:pStyle w:val="7"/>
              <w:pBdr>
                <w:bottom w:val="none" w:color="auto" w:sz="0" w:space="0"/>
              </w:pBdr>
              <w:spacing w:line="400" w:lineRule="exact"/>
              <w:jc w:val="both"/>
              <w:rPr>
                <w:rFonts w:hint="eastAsia" w:ascii="黑体" w:hAnsi="黑体" w:eastAsia="黑体" w:cs="黑体"/>
                <w:b/>
                <w:bCs/>
                <w:color w:val="000000"/>
                <w:kern w:val="2"/>
                <w:sz w:val="21"/>
                <w:szCs w:val="21"/>
              </w:rPr>
            </w:pPr>
          </w:p>
          <w:p>
            <w:pPr>
              <w:pStyle w:val="7"/>
              <w:pBdr>
                <w:bottom w:val="none" w:color="auto" w:sz="0" w:space="0"/>
              </w:pBdr>
              <w:spacing w:line="400" w:lineRule="exact"/>
              <w:jc w:val="both"/>
              <w:rPr>
                <w:rFonts w:hint="eastAsia" w:ascii="黑体" w:hAnsi="黑体" w:eastAsia="黑体" w:cs="黑体"/>
                <w:b/>
                <w:bCs/>
                <w:color w:val="000000"/>
                <w:kern w:val="2"/>
                <w:sz w:val="21"/>
                <w:szCs w:val="21"/>
              </w:rPr>
            </w:pPr>
          </w:p>
          <w:p>
            <w:pPr>
              <w:pStyle w:val="7"/>
              <w:pBdr>
                <w:bottom w:val="none" w:color="auto" w:sz="0" w:space="0"/>
              </w:pBdr>
              <w:spacing w:line="400" w:lineRule="exact"/>
              <w:jc w:val="both"/>
              <w:rPr>
                <w:rFonts w:hint="eastAsia" w:ascii="黑体" w:hAnsi="黑体" w:eastAsia="黑体" w:cs="黑体"/>
                <w:b/>
                <w:bCs/>
                <w:color w:val="000000"/>
                <w:kern w:val="2"/>
                <w:sz w:val="21"/>
                <w:szCs w:val="21"/>
              </w:rPr>
            </w:pPr>
          </w:p>
          <w:p>
            <w:pPr>
              <w:pStyle w:val="7"/>
              <w:pBdr>
                <w:bottom w:val="none" w:color="auto" w:sz="0" w:space="0"/>
              </w:pBdr>
              <w:spacing w:line="400" w:lineRule="exact"/>
              <w:jc w:val="both"/>
              <w:rPr>
                <w:rFonts w:hint="eastAsia" w:ascii="黑体" w:hAnsi="黑体" w:eastAsia="黑体" w:cs="黑体"/>
                <w:b/>
                <w:bCs/>
                <w:color w:val="000000"/>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10723" w:type="dxa"/>
            <w:gridSpan w:val="14"/>
            <w:noWrap w:val="0"/>
            <w:vAlign w:val="center"/>
          </w:tcPr>
          <w:p>
            <w:pPr>
              <w:spacing w:line="400" w:lineRule="exact"/>
              <w:jc w:val="center"/>
              <w:rPr>
                <w:rFonts w:hint="eastAsia" w:ascii="黑体" w:hAnsi="黑体" w:eastAsia="黑体" w:cs="黑体"/>
                <w:bCs/>
                <w:color w:val="000000"/>
                <w:sz w:val="21"/>
                <w:szCs w:val="21"/>
              </w:rPr>
            </w:pPr>
            <w:r>
              <w:rPr>
                <w:rFonts w:hint="eastAsia" w:ascii="黑体" w:hAnsi="黑体" w:eastAsia="黑体" w:cs="黑体"/>
                <w:bCs/>
                <w:color w:val="000000"/>
                <w:sz w:val="21"/>
                <w:szCs w:val="21"/>
              </w:rPr>
              <w:t>客户填写栏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961" w:type="dxa"/>
            <w:noWrap w:val="0"/>
            <w:vAlign w:val="center"/>
          </w:tcPr>
          <w:p>
            <w:pPr>
              <w:spacing w:line="400" w:lineRule="exact"/>
              <w:jc w:val="center"/>
              <w:rPr>
                <w:rFonts w:hint="eastAsia" w:ascii="黑体" w:hAnsi="黑体" w:eastAsia="黑体" w:cs="黑体"/>
                <w:bCs/>
                <w:color w:val="000000"/>
                <w:sz w:val="21"/>
                <w:szCs w:val="21"/>
                <w:lang w:val="en-US" w:eastAsia="zh-CN"/>
              </w:rPr>
            </w:pPr>
            <w:r>
              <w:rPr>
                <w:rFonts w:hint="eastAsia" w:ascii="黑体" w:hAnsi="黑体" w:eastAsia="黑体" w:cs="黑体"/>
                <w:bCs/>
                <w:color w:val="000000"/>
                <w:sz w:val="21"/>
                <w:szCs w:val="21"/>
                <w:lang w:val="en-US" w:eastAsia="zh-CN"/>
              </w:rPr>
              <w:t>证件类型</w:t>
            </w:r>
          </w:p>
        </w:tc>
        <w:tc>
          <w:tcPr>
            <w:tcW w:w="4394" w:type="dxa"/>
            <w:noWrap w:val="0"/>
            <w:vAlign w:val="center"/>
          </w:tcPr>
          <w:p>
            <w:pPr>
              <w:spacing w:line="400" w:lineRule="exact"/>
              <w:jc w:val="center"/>
              <w:rPr>
                <w:rFonts w:hint="eastAsia" w:ascii="黑体" w:hAnsi="黑体" w:eastAsia="黑体" w:cs="黑体"/>
                <w:bCs/>
                <w:color w:val="000000"/>
                <w:sz w:val="21"/>
                <w:szCs w:val="21"/>
              </w:rPr>
            </w:pPr>
          </w:p>
        </w:tc>
        <w:tc>
          <w:tcPr>
            <w:tcW w:w="1276" w:type="dxa"/>
            <w:noWrap w:val="0"/>
            <w:vAlign w:val="center"/>
          </w:tcPr>
          <w:p>
            <w:pPr>
              <w:spacing w:line="400" w:lineRule="exact"/>
              <w:jc w:val="center"/>
              <w:rPr>
                <w:rFonts w:hint="eastAsia" w:ascii="黑体" w:hAnsi="黑体" w:eastAsia="黑体" w:cs="黑体"/>
                <w:bCs/>
                <w:color w:val="000000"/>
                <w:sz w:val="21"/>
                <w:szCs w:val="21"/>
                <w:lang w:val="en-US" w:eastAsia="zh-CN"/>
              </w:rPr>
            </w:pPr>
            <w:r>
              <w:rPr>
                <w:rFonts w:hint="eastAsia" w:ascii="黑体" w:hAnsi="黑体" w:eastAsia="黑体" w:cs="黑体"/>
                <w:bCs/>
                <w:color w:val="000000"/>
                <w:sz w:val="21"/>
                <w:szCs w:val="21"/>
                <w:lang w:val="en-US" w:eastAsia="zh-CN"/>
              </w:rPr>
              <w:t>证件号</w:t>
            </w:r>
          </w:p>
        </w:tc>
        <w:tc>
          <w:tcPr>
            <w:tcW w:w="3092" w:type="dxa"/>
            <w:gridSpan w:val="11"/>
            <w:noWrap w:val="0"/>
            <w:vAlign w:val="center"/>
          </w:tcPr>
          <w:p>
            <w:pPr>
              <w:spacing w:line="400" w:lineRule="exact"/>
              <w:jc w:val="center"/>
              <w:rPr>
                <w:rFonts w:hint="eastAsia" w:ascii="黑体" w:hAnsi="黑体" w:eastAsia="黑体" w:cs="黑体"/>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961" w:type="dxa"/>
            <w:noWrap w:val="0"/>
            <w:vAlign w:val="center"/>
          </w:tcPr>
          <w:p>
            <w:pPr>
              <w:spacing w:line="400" w:lineRule="exact"/>
              <w:jc w:val="center"/>
              <w:rPr>
                <w:rFonts w:hint="eastAsia" w:ascii="黑体" w:hAnsi="黑体" w:eastAsia="黑体" w:cs="黑体"/>
                <w:bCs/>
                <w:color w:val="000000"/>
                <w:sz w:val="21"/>
                <w:szCs w:val="21"/>
              </w:rPr>
            </w:pPr>
            <w:r>
              <w:rPr>
                <w:rFonts w:hint="eastAsia" w:ascii="黑体" w:hAnsi="黑体" w:eastAsia="黑体" w:cs="黑体"/>
                <w:bCs/>
                <w:color w:val="000000"/>
                <w:sz w:val="21"/>
                <w:szCs w:val="21"/>
              </w:rPr>
              <w:t>客户姓名</w:t>
            </w:r>
          </w:p>
        </w:tc>
        <w:tc>
          <w:tcPr>
            <w:tcW w:w="4394" w:type="dxa"/>
            <w:noWrap w:val="0"/>
            <w:vAlign w:val="center"/>
          </w:tcPr>
          <w:p>
            <w:pPr>
              <w:spacing w:line="400" w:lineRule="exact"/>
              <w:jc w:val="center"/>
              <w:rPr>
                <w:rFonts w:hint="eastAsia" w:ascii="黑体" w:hAnsi="黑体" w:eastAsia="黑体" w:cs="黑体"/>
                <w:bCs/>
                <w:color w:val="000000"/>
                <w:sz w:val="21"/>
                <w:szCs w:val="21"/>
              </w:rPr>
            </w:pPr>
          </w:p>
        </w:tc>
        <w:tc>
          <w:tcPr>
            <w:tcW w:w="1276" w:type="dxa"/>
            <w:noWrap w:val="0"/>
            <w:vAlign w:val="center"/>
          </w:tcPr>
          <w:p>
            <w:pPr>
              <w:spacing w:line="400" w:lineRule="exact"/>
              <w:jc w:val="center"/>
              <w:rPr>
                <w:rFonts w:hint="eastAsia" w:ascii="黑体" w:hAnsi="黑体" w:eastAsia="黑体" w:cs="黑体"/>
                <w:bCs/>
                <w:color w:val="000000"/>
                <w:sz w:val="21"/>
                <w:szCs w:val="21"/>
              </w:rPr>
            </w:pPr>
            <w:r>
              <w:rPr>
                <w:rFonts w:hint="eastAsia" w:ascii="黑体" w:hAnsi="黑体" w:eastAsia="黑体" w:cs="黑体"/>
                <w:bCs/>
                <w:color w:val="000000"/>
                <w:sz w:val="21"/>
                <w:szCs w:val="21"/>
              </w:rPr>
              <w:t>手机号码</w:t>
            </w:r>
          </w:p>
        </w:tc>
        <w:tc>
          <w:tcPr>
            <w:tcW w:w="281" w:type="dxa"/>
            <w:noWrap w:val="0"/>
            <w:vAlign w:val="center"/>
          </w:tcPr>
          <w:p>
            <w:pPr>
              <w:spacing w:line="400" w:lineRule="exact"/>
              <w:jc w:val="center"/>
              <w:rPr>
                <w:rFonts w:hint="eastAsia" w:ascii="黑体" w:hAnsi="黑体" w:eastAsia="黑体" w:cs="黑体"/>
                <w:bCs/>
                <w:color w:val="000000"/>
                <w:sz w:val="21"/>
                <w:szCs w:val="21"/>
              </w:rPr>
            </w:pPr>
          </w:p>
        </w:tc>
        <w:tc>
          <w:tcPr>
            <w:tcW w:w="281" w:type="dxa"/>
            <w:noWrap w:val="0"/>
            <w:vAlign w:val="center"/>
          </w:tcPr>
          <w:p>
            <w:pPr>
              <w:spacing w:line="400" w:lineRule="exact"/>
              <w:jc w:val="center"/>
              <w:rPr>
                <w:rFonts w:hint="eastAsia" w:ascii="黑体" w:hAnsi="黑体" w:eastAsia="黑体" w:cs="黑体"/>
                <w:bCs/>
                <w:color w:val="000000"/>
                <w:sz w:val="21"/>
                <w:szCs w:val="21"/>
              </w:rPr>
            </w:pPr>
          </w:p>
        </w:tc>
        <w:tc>
          <w:tcPr>
            <w:tcW w:w="281" w:type="dxa"/>
            <w:noWrap w:val="0"/>
            <w:vAlign w:val="center"/>
          </w:tcPr>
          <w:p>
            <w:pPr>
              <w:spacing w:line="400" w:lineRule="exact"/>
              <w:jc w:val="center"/>
              <w:rPr>
                <w:rFonts w:hint="eastAsia" w:ascii="黑体" w:hAnsi="黑体" w:eastAsia="黑体" w:cs="黑体"/>
                <w:bCs/>
                <w:color w:val="000000"/>
                <w:sz w:val="21"/>
                <w:szCs w:val="21"/>
              </w:rPr>
            </w:pPr>
          </w:p>
        </w:tc>
        <w:tc>
          <w:tcPr>
            <w:tcW w:w="281" w:type="dxa"/>
            <w:noWrap w:val="0"/>
            <w:vAlign w:val="center"/>
          </w:tcPr>
          <w:p>
            <w:pPr>
              <w:spacing w:line="400" w:lineRule="exact"/>
              <w:jc w:val="center"/>
              <w:rPr>
                <w:rFonts w:hint="eastAsia" w:ascii="黑体" w:hAnsi="黑体" w:eastAsia="黑体" w:cs="黑体"/>
                <w:bCs/>
                <w:color w:val="000000"/>
                <w:sz w:val="21"/>
                <w:szCs w:val="21"/>
              </w:rPr>
            </w:pPr>
          </w:p>
        </w:tc>
        <w:tc>
          <w:tcPr>
            <w:tcW w:w="281" w:type="dxa"/>
            <w:noWrap w:val="0"/>
            <w:vAlign w:val="center"/>
          </w:tcPr>
          <w:p>
            <w:pPr>
              <w:spacing w:line="400" w:lineRule="exact"/>
              <w:jc w:val="center"/>
              <w:rPr>
                <w:rFonts w:hint="eastAsia" w:ascii="黑体" w:hAnsi="黑体" w:eastAsia="黑体" w:cs="黑体"/>
                <w:bCs/>
                <w:color w:val="000000"/>
                <w:sz w:val="21"/>
                <w:szCs w:val="21"/>
              </w:rPr>
            </w:pPr>
          </w:p>
        </w:tc>
        <w:tc>
          <w:tcPr>
            <w:tcW w:w="281" w:type="dxa"/>
            <w:noWrap w:val="0"/>
            <w:vAlign w:val="center"/>
          </w:tcPr>
          <w:p>
            <w:pPr>
              <w:spacing w:line="400" w:lineRule="exact"/>
              <w:jc w:val="center"/>
              <w:rPr>
                <w:rFonts w:hint="eastAsia" w:ascii="黑体" w:hAnsi="黑体" w:eastAsia="黑体" w:cs="黑体"/>
                <w:bCs/>
                <w:color w:val="000000"/>
                <w:sz w:val="21"/>
                <w:szCs w:val="21"/>
              </w:rPr>
            </w:pPr>
          </w:p>
        </w:tc>
        <w:tc>
          <w:tcPr>
            <w:tcW w:w="281" w:type="dxa"/>
            <w:noWrap w:val="0"/>
            <w:vAlign w:val="center"/>
          </w:tcPr>
          <w:p>
            <w:pPr>
              <w:spacing w:line="400" w:lineRule="exact"/>
              <w:jc w:val="center"/>
              <w:rPr>
                <w:rFonts w:hint="eastAsia" w:ascii="黑体" w:hAnsi="黑体" w:eastAsia="黑体" w:cs="黑体"/>
                <w:bCs/>
                <w:color w:val="000000"/>
                <w:sz w:val="21"/>
                <w:szCs w:val="21"/>
              </w:rPr>
            </w:pPr>
          </w:p>
        </w:tc>
        <w:tc>
          <w:tcPr>
            <w:tcW w:w="281" w:type="dxa"/>
            <w:noWrap w:val="0"/>
            <w:vAlign w:val="center"/>
          </w:tcPr>
          <w:p>
            <w:pPr>
              <w:spacing w:line="400" w:lineRule="exact"/>
              <w:jc w:val="center"/>
              <w:rPr>
                <w:rFonts w:hint="eastAsia" w:ascii="黑体" w:hAnsi="黑体" w:eastAsia="黑体" w:cs="黑体"/>
                <w:bCs/>
                <w:color w:val="000000"/>
                <w:sz w:val="21"/>
                <w:szCs w:val="21"/>
              </w:rPr>
            </w:pPr>
          </w:p>
        </w:tc>
        <w:tc>
          <w:tcPr>
            <w:tcW w:w="281" w:type="dxa"/>
            <w:noWrap w:val="0"/>
            <w:vAlign w:val="center"/>
          </w:tcPr>
          <w:p>
            <w:pPr>
              <w:spacing w:line="400" w:lineRule="exact"/>
              <w:jc w:val="center"/>
              <w:rPr>
                <w:rFonts w:hint="eastAsia" w:ascii="黑体" w:hAnsi="黑体" w:eastAsia="黑体" w:cs="黑体"/>
                <w:bCs/>
                <w:color w:val="000000"/>
                <w:sz w:val="21"/>
                <w:szCs w:val="21"/>
              </w:rPr>
            </w:pPr>
          </w:p>
        </w:tc>
        <w:tc>
          <w:tcPr>
            <w:tcW w:w="281" w:type="dxa"/>
            <w:noWrap w:val="0"/>
            <w:vAlign w:val="center"/>
          </w:tcPr>
          <w:p>
            <w:pPr>
              <w:spacing w:line="400" w:lineRule="exact"/>
              <w:jc w:val="center"/>
              <w:rPr>
                <w:rFonts w:hint="eastAsia" w:ascii="黑体" w:hAnsi="黑体" w:eastAsia="黑体" w:cs="黑体"/>
                <w:bCs/>
                <w:color w:val="000000"/>
                <w:sz w:val="21"/>
                <w:szCs w:val="21"/>
              </w:rPr>
            </w:pPr>
          </w:p>
        </w:tc>
        <w:tc>
          <w:tcPr>
            <w:tcW w:w="282" w:type="dxa"/>
            <w:noWrap w:val="0"/>
            <w:vAlign w:val="center"/>
          </w:tcPr>
          <w:p>
            <w:pPr>
              <w:spacing w:line="400" w:lineRule="exact"/>
              <w:jc w:val="center"/>
              <w:rPr>
                <w:rFonts w:hint="eastAsia" w:ascii="黑体" w:hAnsi="黑体" w:eastAsia="黑体" w:cs="黑体"/>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961" w:type="dxa"/>
            <w:noWrap w:val="0"/>
            <w:vAlign w:val="center"/>
          </w:tcPr>
          <w:p>
            <w:pPr>
              <w:spacing w:line="400" w:lineRule="exact"/>
              <w:jc w:val="center"/>
              <w:rPr>
                <w:rFonts w:hint="eastAsia" w:ascii="黑体" w:hAnsi="黑体" w:eastAsia="黑体" w:cs="黑体"/>
                <w:bCs/>
                <w:color w:val="000000"/>
                <w:sz w:val="21"/>
                <w:szCs w:val="21"/>
              </w:rPr>
            </w:pPr>
            <w:r>
              <w:rPr>
                <w:rFonts w:hint="eastAsia" w:ascii="黑体" w:hAnsi="黑体" w:eastAsia="黑体" w:cs="黑体"/>
                <w:bCs/>
                <w:color w:val="000000"/>
                <w:sz w:val="21"/>
                <w:szCs w:val="21"/>
              </w:rPr>
              <w:t>交易类型</w:t>
            </w:r>
          </w:p>
        </w:tc>
        <w:tc>
          <w:tcPr>
            <w:tcW w:w="8762" w:type="dxa"/>
            <w:gridSpan w:val="13"/>
            <w:noWrap w:val="0"/>
            <w:vAlign w:val="center"/>
          </w:tcPr>
          <w:p>
            <w:pPr>
              <w:spacing w:line="400" w:lineRule="exact"/>
              <w:rPr>
                <w:rFonts w:hint="eastAsia" w:ascii="黑体" w:hAnsi="黑体" w:eastAsia="黑体" w:cs="黑体"/>
                <w:bCs/>
                <w:color w:val="000000"/>
                <w:sz w:val="21"/>
                <w:szCs w:val="21"/>
                <w:u w:val="single"/>
              </w:rPr>
            </w:pPr>
            <w:r>
              <w:rPr>
                <w:rFonts w:hint="eastAsia" w:ascii="黑体" w:hAnsi="黑体" w:eastAsia="黑体" w:cs="黑体"/>
                <w:bCs/>
                <w:color w:val="000000"/>
                <w:sz w:val="21"/>
                <w:szCs w:val="21"/>
              </w:rPr>
              <w:t xml:space="preserve">□ 购买 □ 赎回 □ 撤单 □ 签约 □ 解约 □ </w:t>
            </w:r>
            <w:r>
              <w:rPr>
                <w:rFonts w:hint="eastAsia" w:ascii="黑体" w:hAnsi="黑体" w:eastAsia="黑体" w:cs="黑体"/>
                <w:bCs/>
                <w:color w:val="000000"/>
                <w:sz w:val="21"/>
                <w:szCs w:val="21"/>
                <w:lang w:val="en-US" w:eastAsia="zh-CN"/>
              </w:rPr>
              <w:t xml:space="preserve">定期定额开通 </w:t>
            </w:r>
            <w:r>
              <w:rPr>
                <w:rFonts w:hint="eastAsia" w:ascii="黑体" w:hAnsi="黑体" w:eastAsia="黑体" w:cs="黑体"/>
                <w:bCs/>
                <w:color w:val="000000"/>
                <w:sz w:val="21"/>
                <w:szCs w:val="21"/>
              </w:rPr>
              <w:t xml:space="preserve">□ </w:t>
            </w:r>
            <w:r>
              <w:rPr>
                <w:rFonts w:hint="eastAsia" w:ascii="黑体" w:hAnsi="黑体" w:eastAsia="黑体" w:cs="黑体"/>
                <w:bCs/>
                <w:color w:val="000000"/>
                <w:sz w:val="21"/>
                <w:szCs w:val="21"/>
                <w:lang w:val="en-US" w:eastAsia="zh-CN"/>
              </w:rPr>
              <w:t xml:space="preserve">定期定额解约 </w:t>
            </w:r>
            <w:r>
              <w:rPr>
                <w:rFonts w:hint="eastAsia" w:ascii="黑体" w:hAnsi="黑体" w:eastAsia="黑体" w:cs="黑体"/>
                <w:bCs/>
                <w:color w:val="000000"/>
                <w:sz w:val="21"/>
                <w:szCs w:val="21"/>
              </w:rPr>
              <w:t>□ 其他</w:t>
            </w:r>
            <w:r>
              <w:rPr>
                <w:rFonts w:hint="eastAsia" w:ascii="黑体" w:hAnsi="黑体" w:eastAsia="黑体" w:cs="黑体"/>
                <w:bCs/>
                <w:color w:val="000000"/>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961" w:type="dxa"/>
            <w:noWrap w:val="0"/>
            <w:vAlign w:val="center"/>
          </w:tcPr>
          <w:p>
            <w:pPr>
              <w:spacing w:line="400" w:lineRule="exact"/>
              <w:jc w:val="center"/>
              <w:rPr>
                <w:rFonts w:hint="eastAsia" w:ascii="黑体" w:hAnsi="黑体" w:eastAsia="黑体" w:cs="黑体"/>
                <w:bCs/>
                <w:color w:val="000000"/>
                <w:sz w:val="21"/>
                <w:szCs w:val="21"/>
              </w:rPr>
            </w:pPr>
            <w:r>
              <w:rPr>
                <w:rFonts w:hint="eastAsia" w:ascii="黑体" w:hAnsi="黑体" w:eastAsia="黑体" w:cs="黑体"/>
                <w:bCs/>
                <w:color w:val="000000"/>
                <w:sz w:val="21"/>
                <w:szCs w:val="21"/>
                <w:lang w:val="en-US" w:eastAsia="zh-CN"/>
              </w:rPr>
              <w:t>产品管理人</w:t>
            </w:r>
          </w:p>
        </w:tc>
        <w:tc>
          <w:tcPr>
            <w:tcW w:w="4394" w:type="dxa"/>
            <w:noWrap w:val="0"/>
            <w:vAlign w:val="center"/>
          </w:tcPr>
          <w:p>
            <w:pPr>
              <w:spacing w:line="400" w:lineRule="exact"/>
              <w:jc w:val="center"/>
              <w:rPr>
                <w:rFonts w:hint="default" w:ascii="黑体" w:hAnsi="黑体" w:eastAsia="黑体" w:cs="黑体"/>
                <w:bCs/>
                <w:color w:val="000000"/>
                <w:sz w:val="21"/>
                <w:szCs w:val="21"/>
                <w:lang w:val="en-US" w:eastAsia="zh-CN"/>
              </w:rPr>
            </w:pPr>
            <w:r>
              <w:rPr>
                <w:rFonts w:hint="eastAsia" w:ascii="黑体" w:hAnsi="黑体" w:eastAsia="黑体" w:cs="黑体"/>
                <w:bCs/>
                <w:color w:val="000000"/>
                <w:sz w:val="21"/>
                <w:szCs w:val="21"/>
                <w:lang w:val="en-US" w:eastAsia="zh-CN"/>
              </w:rPr>
              <w:t>东莞银行</w:t>
            </w:r>
            <w:bookmarkStart w:id="0" w:name="_GoBack"/>
            <w:bookmarkEnd w:id="0"/>
            <w:r>
              <w:rPr>
                <w:rFonts w:hint="eastAsia" w:ascii="黑体" w:hAnsi="黑体" w:eastAsia="黑体" w:cs="黑体"/>
                <w:bCs/>
                <w:color w:val="000000"/>
                <w:sz w:val="21"/>
                <w:szCs w:val="21"/>
                <w:lang w:val="en-US" w:eastAsia="zh-CN"/>
              </w:rPr>
              <w:t>股份有限公司</w:t>
            </w:r>
          </w:p>
        </w:tc>
        <w:tc>
          <w:tcPr>
            <w:tcW w:w="1276" w:type="dxa"/>
            <w:noWrap w:val="0"/>
            <w:vAlign w:val="center"/>
          </w:tcPr>
          <w:p>
            <w:pPr>
              <w:spacing w:line="400" w:lineRule="exact"/>
              <w:jc w:val="center"/>
              <w:rPr>
                <w:rFonts w:hint="eastAsia" w:ascii="黑体" w:hAnsi="黑体" w:eastAsia="黑体" w:cs="黑体"/>
                <w:bCs/>
                <w:color w:val="000000"/>
                <w:sz w:val="21"/>
                <w:szCs w:val="21"/>
              </w:rPr>
            </w:pPr>
            <w:r>
              <w:rPr>
                <w:rFonts w:hint="eastAsia" w:ascii="黑体" w:hAnsi="黑体" w:eastAsia="黑体" w:cs="黑体"/>
                <w:bCs/>
                <w:color w:val="000000"/>
                <w:sz w:val="21"/>
                <w:szCs w:val="21"/>
              </w:rPr>
              <w:t>产品代码</w:t>
            </w:r>
          </w:p>
        </w:tc>
        <w:tc>
          <w:tcPr>
            <w:tcW w:w="3092" w:type="dxa"/>
            <w:gridSpan w:val="11"/>
            <w:noWrap w:val="0"/>
            <w:vAlign w:val="center"/>
          </w:tcPr>
          <w:p>
            <w:pPr>
              <w:spacing w:line="400" w:lineRule="exact"/>
              <w:jc w:val="center"/>
              <w:rPr>
                <w:rFonts w:hint="eastAsia" w:ascii="黑体" w:hAnsi="黑体" w:eastAsia="黑体" w:cs="黑体"/>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961" w:type="dxa"/>
            <w:noWrap w:val="0"/>
            <w:vAlign w:val="center"/>
          </w:tcPr>
          <w:p>
            <w:pPr>
              <w:spacing w:line="400" w:lineRule="exact"/>
              <w:jc w:val="center"/>
              <w:rPr>
                <w:rFonts w:hint="eastAsia" w:ascii="黑体" w:hAnsi="黑体" w:eastAsia="黑体" w:cs="黑体"/>
                <w:bCs/>
                <w:color w:val="000000"/>
                <w:sz w:val="21"/>
                <w:szCs w:val="21"/>
                <w:lang w:val="en-US" w:eastAsia="zh-CN"/>
              </w:rPr>
            </w:pPr>
            <w:r>
              <w:rPr>
                <w:rFonts w:hint="eastAsia" w:ascii="黑体" w:hAnsi="黑体" w:eastAsia="黑体" w:cs="黑体"/>
                <w:bCs/>
                <w:color w:val="000000"/>
                <w:sz w:val="21"/>
                <w:szCs w:val="21"/>
                <w:lang w:val="en-US" w:eastAsia="zh-CN"/>
              </w:rPr>
              <w:t>产品类型</w:t>
            </w:r>
          </w:p>
        </w:tc>
        <w:tc>
          <w:tcPr>
            <w:tcW w:w="8762" w:type="dxa"/>
            <w:gridSpan w:val="13"/>
            <w:noWrap w:val="0"/>
            <w:vAlign w:val="center"/>
          </w:tcPr>
          <w:p>
            <w:pPr>
              <w:spacing w:line="400" w:lineRule="exact"/>
              <w:jc w:val="left"/>
              <w:rPr>
                <w:rFonts w:hint="eastAsia" w:ascii="黑体" w:hAnsi="黑体" w:eastAsia="黑体" w:cs="黑体"/>
                <w:bCs/>
                <w:color w:val="000000"/>
                <w:sz w:val="21"/>
                <w:szCs w:val="21"/>
              </w:rPr>
            </w:pPr>
            <w:r>
              <w:rPr>
                <w:rFonts w:hint="eastAsia" w:ascii="黑体" w:hAnsi="宋体" w:eastAsia="黑体"/>
                <w:bCs/>
                <w:color w:val="000000"/>
                <w:sz w:val="21"/>
                <w:szCs w:val="21"/>
              </w:rPr>
              <w:t xml:space="preserve">□ </w:t>
            </w:r>
            <w:r>
              <w:rPr>
                <w:rFonts w:hint="eastAsia" w:ascii="黑体" w:hAnsi="宋体" w:eastAsia="黑体"/>
                <w:bCs/>
                <w:color w:val="000000"/>
                <w:sz w:val="21"/>
                <w:szCs w:val="21"/>
                <w:lang w:val="en-US" w:eastAsia="zh-CN"/>
              </w:rPr>
              <w:t>固定收益类</w:t>
            </w:r>
            <w:r>
              <w:rPr>
                <w:rFonts w:hint="eastAsia" w:ascii="黑体" w:hAnsi="宋体" w:eastAsia="黑体"/>
                <w:bCs/>
                <w:color w:val="000000"/>
                <w:sz w:val="21"/>
                <w:szCs w:val="21"/>
              </w:rPr>
              <w:t xml:space="preserve">  □ </w:t>
            </w:r>
            <w:r>
              <w:rPr>
                <w:rFonts w:hint="eastAsia" w:ascii="黑体" w:hAnsi="宋体" w:eastAsia="黑体"/>
                <w:bCs/>
                <w:color w:val="000000"/>
                <w:sz w:val="21"/>
                <w:szCs w:val="21"/>
                <w:lang w:val="en-US" w:eastAsia="zh-CN"/>
              </w:rPr>
              <w:t>混合类</w:t>
            </w:r>
            <w:r>
              <w:rPr>
                <w:rFonts w:hint="eastAsia" w:ascii="黑体" w:hAnsi="宋体" w:eastAsia="黑体"/>
                <w:bCs/>
                <w:color w:val="000000"/>
                <w:sz w:val="21"/>
                <w:szCs w:val="21"/>
              </w:rPr>
              <w:t xml:space="preserve">  □ </w:t>
            </w:r>
            <w:r>
              <w:rPr>
                <w:rFonts w:hint="eastAsia" w:ascii="黑体" w:hAnsi="宋体" w:eastAsia="黑体"/>
                <w:bCs/>
                <w:color w:val="000000"/>
                <w:sz w:val="21"/>
                <w:szCs w:val="21"/>
                <w:lang w:val="en-US" w:eastAsia="zh-CN"/>
              </w:rPr>
              <w:t>权益类</w:t>
            </w:r>
            <w:r>
              <w:rPr>
                <w:rFonts w:hint="eastAsia" w:ascii="黑体" w:hAnsi="宋体" w:eastAsia="黑体"/>
                <w:bCs/>
                <w:color w:val="000000"/>
                <w:sz w:val="21"/>
                <w:szCs w:val="21"/>
              </w:rPr>
              <w:t xml:space="preserve"> </w:t>
            </w:r>
            <w:r>
              <w:rPr>
                <w:rFonts w:hint="eastAsia" w:ascii="黑体" w:hAnsi="宋体" w:eastAsia="黑体"/>
                <w:bCs/>
                <w:color w:val="000000"/>
                <w:sz w:val="21"/>
                <w:szCs w:val="21"/>
                <w:lang w:val="en-US" w:eastAsia="zh-CN"/>
              </w:rPr>
              <w:t xml:space="preserve"> </w:t>
            </w:r>
            <w:r>
              <w:rPr>
                <w:rFonts w:hint="eastAsia" w:ascii="黑体" w:hAnsi="宋体" w:eastAsia="黑体"/>
                <w:bCs/>
                <w:color w:val="000000"/>
                <w:sz w:val="21"/>
                <w:szCs w:val="21"/>
              </w:rPr>
              <w:t xml:space="preserve">□ </w:t>
            </w:r>
            <w:r>
              <w:rPr>
                <w:rFonts w:hint="eastAsia" w:ascii="黑体" w:hAnsi="宋体" w:eastAsia="黑体"/>
                <w:bCs/>
                <w:color w:val="000000"/>
                <w:sz w:val="21"/>
                <w:szCs w:val="21"/>
                <w:lang w:val="en-US" w:eastAsia="zh-CN"/>
              </w:rPr>
              <w:t>商品及金融衍生品类</w:t>
            </w:r>
            <w:r>
              <w:rPr>
                <w:rFonts w:hint="eastAsia" w:ascii="黑体" w:hAnsi="黑体" w:eastAsia="黑体" w:cs="黑体"/>
                <w:bCs/>
                <w:color w:val="000000"/>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961" w:type="dxa"/>
            <w:noWrap w:val="0"/>
            <w:vAlign w:val="center"/>
          </w:tcPr>
          <w:p>
            <w:pPr>
              <w:spacing w:line="400" w:lineRule="exact"/>
              <w:jc w:val="center"/>
              <w:rPr>
                <w:rFonts w:hint="eastAsia" w:ascii="黑体" w:hAnsi="黑体" w:eastAsia="黑体" w:cs="黑体"/>
                <w:bCs/>
                <w:color w:val="000000"/>
                <w:sz w:val="21"/>
                <w:szCs w:val="21"/>
              </w:rPr>
            </w:pPr>
            <w:r>
              <w:rPr>
                <w:rFonts w:hint="eastAsia" w:ascii="黑体" w:hAnsi="黑体" w:eastAsia="黑体" w:cs="黑体"/>
                <w:bCs/>
                <w:color w:val="000000"/>
                <w:sz w:val="21"/>
                <w:szCs w:val="21"/>
              </w:rPr>
              <w:t>购买金额</w:t>
            </w:r>
          </w:p>
        </w:tc>
        <w:tc>
          <w:tcPr>
            <w:tcW w:w="4394" w:type="dxa"/>
            <w:noWrap w:val="0"/>
            <w:vAlign w:val="center"/>
          </w:tcPr>
          <w:p>
            <w:pPr>
              <w:spacing w:line="400" w:lineRule="exact"/>
              <w:jc w:val="center"/>
              <w:rPr>
                <w:rFonts w:hint="eastAsia" w:ascii="黑体" w:hAnsi="黑体" w:eastAsia="黑体" w:cs="黑体"/>
                <w:bCs/>
                <w:color w:val="000000"/>
                <w:sz w:val="21"/>
                <w:szCs w:val="21"/>
              </w:rPr>
            </w:pPr>
          </w:p>
        </w:tc>
        <w:tc>
          <w:tcPr>
            <w:tcW w:w="1276" w:type="dxa"/>
            <w:noWrap w:val="0"/>
            <w:vAlign w:val="center"/>
          </w:tcPr>
          <w:p>
            <w:pPr>
              <w:spacing w:line="400" w:lineRule="exact"/>
              <w:jc w:val="center"/>
              <w:rPr>
                <w:rFonts w:hint="eastAsia" w:ascii="黑体" w:hAnsi="黑体" w:eastAsia="黑体" w:cs="黑体"/>
                <w:bCs/>
                <w:color w:val="000000"/>
                <w:sz w:val="21"/>
                <w:szCs w:val="21"/>
              </w:rPr>
            </w:pPr>
            <w:r>
              <w:rPr>
                <w:rFonts w:hint="eastAsia" w:ascii="黑体" w:hAnsi="黑体" w:eastAsia="黑体" w:cs="黑体"/>
                <w:bCs/>
                <w:color w:val="000000"/>
                <w:sz w:val="21"/>
                <w:szCs w:val="21"/>
              </w:rPr>
              <w:t>赎回份额</w:t>
            </w:r>
          </w:p>
        </w:tc>
        <w:tc>
          <w:tcPr>
            <w:tcW w:w="3092" w:type="dxa"/>
            <w:gridSpan w:val="11"/>
            <w:noWrap w:val="0"/>
            <w:vAlign w:val="center"/>
          </w:tcPr>
          <w:p>
            <w:pPr>
              <w:spacing w:line="400" w:lineRule="exact"/>
              <w:jc w:val="center"/>
              <w:rPr>
                <w:rFonts w:hint="eastAsia" w:ascii="黑体" w:hAnsi="黑体" w:eastAsia="黑体" w:cs="黑体"/>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961" w:type="dxa"/>
            <w:noWrap w:val="0"/>
            <w:vAlign w:val="center"/>
          </w:tcPr>
          <w:p>
            <w:pPr>
              <w:spacing w:line="400" w:lineRule="exact"/>
              <w:jc w:val="center"/>
              <w:rPr>
                <w:rFonts w:hint="eastAsia" w:ascii="黑体" w:hAnsi="黑体" w:eastAsia="黑体" w:cs="黑体"/>
                <w:bCs/>
                <w:color w:val="000000"/>
                <w:sz w:val="21"/>
                <w:szCs w:val="21"/>
              </w:rPr>
            </w:pPr>
            <w:r>
              <w:rPr>
                <w:rFonts w:hint="eastAsia" w:ascii="黑体" w:hAnsi="黑体" w:eastAsia="黑体" w:cs="黑体"/>
                <w:bCs/>
                <w:color w:val="000000"/>
                <w:sz w:val="21"/>
                <w:szCs w:val="21"/>
              </w:rPr>
              <w:t>客户评级</w:t>
            </w:r>
          </w:p>
        </w:tc>
        <w:tc>
          <w:tcPr>
            <w:tcW w:w="8762" w:type="dxa"/>
            <w:gridSpan w:val="13"/>
            <w:noWrap w:val="0"/>
            <w:vAlign w:val="center"/>
          </w:tcPr>
          <w:p>
            <w:pPr>
              <w:spacing w:line="400" w:lineRule="exact"/>
              <w:jc w:val="left"/>
              <w:rPr>
                <w:rFonts w:hint="eastAsia" w:ascii="黑体" w:hAnsi="黑体" w:eastAsia="黑体" w:cs="黑体"/>
                <w:bCs/>
                <w:color w:val="000000"/>
                <w:sz w:val="21"/>
                <w:szCs w:val="21"/>
              </w:rPr>
            </w:pPr>
            <w:r>
              <w:rPr>
                <w:rFonts w:hint="eastAsia" w:ascii="黑体" w:hAnsi="黑体" w:eastAsia="黑体" w:cs="黑体"/>
                <w:bCs/>
                <w:color w:val="000000"/>
                <w:sz w:val="21"/>
                <w:szCs w:val="21"/>
              </w:rPr>
              <w:t>□ 保守型  □ 稳健型  □ 平衡型  □ 进取型  □ 投机型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1961" w:type="dxa"/>
            <w:noWrap w:val="0"/>
            <w:vAlign w:val="center"/>
          </w:tcPr>
          <w:p>
            <w:pPr>
              <w:spacing w:line="440" w:lineRule="exact"/>
              <w:jc w:val="center"/>
              <w:rPr>
                <w:rFonts w:hint="eastAsia" w:ascii="黑体" w:hAnsi="黑体" w:eastAsia="黑体" w:cs="黑体"/>
                <w:bCs/>
                <w:color w:val="000000"/>
                <w:sz w:val="21"/>
                <w:szCs w:val="21"/>
              </w:rPr>
            </w:pPr>
            <w:r>
              <w:rPr>
                <w:rFonts w:hint="eastAsia" w:ascii="黑体" w:hAnsi="黑体" w:eastAsia="黑体" w:cs="黑体"/>
                <w:bCs/>
                <w:color w:val="000000"/>
                <w:sz w:val="21"/>
                <w:szCs w:val="21"/>
              </w:rPr>
              <w:t>销售适应性</w:t>
            </w:r>
          </w:p>
        </w:tc>
        <w:tc>
          <w:tcPr>
            <w:tcW w:w="8762" w:type="dxa"/>
            <w:gridSpan w:val="13"/>
            <w:noWrap w:val="0"/>
            <w:vAlign w:val="center"/>
          </w:tcPr>
          <w:p>
            <w:pPr>
              <w:spacing w:line="320" w:lineRule="exact"/>
              <w:jc w:val="left"/>
              <w:rPr>
                <w:rFonts w:hint="eastAsia" w:ascii="黑体" w:hAnsi="黑体" w:eastAsia="黑体" w:cs="黑体"/>
                <w:bCs/>
                <w:color w:val="000000"/>
                <w:sz w:val="21"/>
                <w:szCs w:val="21"/>
              </w:rPr>
            </w:pPr>
            <w:r>
              <w:rPr>
                <w:rFonts w:hint="eastAsia" w:ascii="黑体" w:hAnsi="黑体" w:eastAsia="黑体" w:cs="黑体"/>
                <w:bCs/>
                <w:color w:val="000000"/>
                <w:sz w:val="21"/>
                <w:szCs w:val="21"/>
              </w:rPr>
              <w:t>□产品内部评级为R1，适合保守型、稳健型、平衡型、进取型、投机型客户购买；</w:t>
            </w:r>
          </w:p>
          <w:p>
            <w:pPr>
              <w:spacing w:line="320" w:lineRule="exact"/>
              <w:jc w:val="left"/>
              <w:rPr>
                <w:rFonts w:hint="eastAsia" w:ascii="黑体" w:hAnsi="黑体" w:eastAsia="黑体" w:cs="黑体"/>
                <w:bCs/>
                <w:color w:val="000000"/>
                <w:sz w:val="21"/>
                <w:szCs w:val="21"/>
              </w:rPr>
            </w:pPr>
            <w:r>
              <w:rPr>
                <w:rFonts w:hint="eastAsia" w:ascii="黑体" w:hAnsi="黑体" w:eastAsia="黑体" w:cs="黑体"/>
                <w:bCs/>
                <w:color w:val="000000"/>
                <w:sz w:val="21"/>
                <w:szCs w:val="21"/>
              </w:rPr>
              <w:t>□产品内部评级为R2，适合稳健型、平衡型、进取型、投机型客户购买；</w:t>
            </w:r>
          </w:p>
          <w:p>
            <w:pPr>
              <w:spacing w:line="320" w:lineRule="exact"/>
              <w:jc w:val="left"/>
              <w:rPr>
                <w:rFonts w:hint="eastAsia" w:ascii="黑体" w:hAnsi="黑体" w:eastAsia="黑体" w:cs="黑体"/>
                <w:bCs/>
                <w:color w:val="000000"/>
                <w:sz w:val="21"/>
                <w:szCs w:val="21"/>
              </w:rPr>
            </w:pPr>
            <w:r>
              <w:rPr>
                <w:rFonts w:hint="eastAsia" w:ascii="黑体" w:hAnsi="黑体" w:eastAsia="黑体" w:cs="黑体"/>
                <w:bCs/>
                <w:color w:val="000000"/>
                <w:sz w:val="21"/>
                <w:szCs w:val="21"/>
              </w:rPr>
              <w:t>□产品内部评级为R3，适合平衡型、进取型、投机型客户购买；</w:t>
            </w:r>
          </w:p>
          <w:p>
            <w:pPr>
              <w:spacing w:line="320" w:lineRule="exact"/>
              <w:jc w:val="left"/>
              <w:rPr>
                <w:rFonts w:hint="eastAsia" w:ascii="黑体" w:hAnsi="黑体" w:eastAsia="黑体" w:cs="黑体"/>
                <w:bCs/>
                <w:color w:val="000000"/>
                <w:sz w:val="21"/>
                <w:szCs w:val="21"/>
              </w:rPr>
            </w:pPr>
            <w:r>
              <w:rPr>
                <w:rFonts w:hint="eastAsia" w:ascii="黑体" w:hAnsi="黑体" w:eastAsia="黑体" w:cs="黑体"/>
                <w:bCs/>
                <w:color w:val="000000"/>
                <w:sz w:val="21"/>
                <w:szCs w:val="21"/>
              </w:rPr>
              <w:t>□产品内部评级为R4，适合进取型、投机型客户购买；</w:t>
            </w:r>
          </w:p>
          <w:p>
            <w:pPr>
              <w:spacing w:line="320" w:lineRule="exact"/>
              <w:jc w:val="left"/>
              <w:rPr>
                <w:rFonts w:hint="eastAsia" w:ascii="黑体" w:hAnsi="黑体" w:eastAsia="黑体" w:cs="黑体"/>
                <w:bCs/>
                <w:color w:val="000000"/>
                <w:sz w:val="21"/>
                <w:szCs w:val="21"/>
              </w:rPr>
            </w:pPr>
            <w:r>
              <w:rPr>
                <w:rFonts w:hint="eastAsia" w:ascii="黑体" w:hAnsi="黑体" w:eastAsia="黑体" w:cs="黑体"/>
                <w:bCs/>
                <w:color w:val="000000"/>
                <w:sz w:val="21"/>
                <w:szCs w:val="21"/>
              </w:rPr>
              <w:t>□产品内部评级为R5，适合投机型客户购买。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38" w:hRule="atLeast"/>
          <w:jc w:val="center"/>
        </w:trPr>
        <w:tc>
          <w:tcPr>
            <w:tcW w:w="10723" w:type="dxa"/>
            <w:gridSpan w:val="14"/>
            <w:noWrap w:val="0"/>
            <w:vAlign w:val="top"/>
          </w:tcPr>
          <w:p>
            <w:pPr>
              <w:spacing w:before="240"/>
              <w:ind w:firstLine="462" w:firstLineChars="200"/>
              <w:rPr>
                <w:rFonts w:hint="eastAsia" w:ascii="黑体" w:hAnsi="黑体" w:eastAsia="黑体" w:cs="黑体"/>
                <w:color w:val="000000"/>
                <w:spacing w:val="16"/>
                <w:sz w:val="21"/>
                <w:szCs w:val="21"/>
              </w:rPr>
            </w:pPr>
          </w:p>
          <w:p>
            <w:pPr>
              <w:spacing w:before="240"/>
              <w:ind w:firstLine="462" w:firstLineChars="200"/>
              <w:rPr>
                <w:rFonts w:hint="eastAsia" w:ascii="黑体" w:hAnsi="黑体" w:eastAsia="黑体" w:cs="黑体"/>
                <w:color w:val="000000"/>
                <w:spacing w:val="16"/>
                <w:sz w:val="21"/>
                <w:szCs w:val="21"/>
              </w:rPr>
            </w:pPr>
            <w:r>
              <w:rPr>
                <w:rFonts w:hint="eastAsia" w:ascii="黑体" w:hAnsi="黑体" w:eastAsia="黑体" w:cs="黑体"/>
                <w:color w:val="000000"/>
                <w:spacing w:val="16"/>
                <w:sz w:val="21"/>
                <w:szCs w:val="21"/>
              </w:rPr>
              <w:t>客户签名/盖章：</w:t>
            </w:r>
            <w:r>
              <w:rPr>
                <w:rFonts w:hint="eastAsia" w:ascii="黑体" w:hAnsi="黑体" w:eastAsia="黑体" w:cs="黑体"/>
                <w:color w:val="000000"/>
                <w:spacing w:val="16"/>
                <w:sz w:val="21"/>
                <w:szCs w:val="21"/>
                <w:u w:val="single"/>
              </w:rPr>
              <w:t xml:space="preserve">           </w:t>
            </w:r>
          </w:p>
          <w:p>
            <w:pPr>
              <w:spacing w:line="300" w:lineRule="exact"/>
              <w:ind w:firstLine="422" w:firstLineChars="200"/>
              <w:rPr>
                <w:rFonts w:hint="eastAsia" w:ascii="黑体" w:hAnsi="黑体" w:eastAsia="黑体" w:cs="黑体"/>
                <w:color w:val="000000"/>
                <w:spacing w:val="6"/>
                <w:sz w:val="21"/>
                <w:szCs w:val="21"/>
              </w:rPr>
            </w:pPr>
            <w:r>
              <w:rPr>
                <w:rFonts w:hint="eastAsia" w:ascii="黑体" w:hAnsi="黑体" w:eastAsia="黑体" w:cs="黑体"/>
                <w:color w:val="000000"/>
                <w:spacing w:val="6"/>
                <w:sz w:val="21"/>
                <w:szCs w:val="21"/>
              </w:rPr>
              <w:t>银行经办人员签章：            银行复核人员签章：             银行业务章：</w:t>
            </w:r>
          </w:p>
        </w:tc>
      </w:tr>
    </w:tbl>
    <w:p>
      <w:pPr>
        <w:pStyle w:val="17"/>
        <w:ind w:right="0" w:firstLine="0"/>
        <w:rPr>
          <w:rFonts w:hint="eastAsia" w:ascii="黑体" w:hAnsi="黑体" w:cs="黑体"/>
          <w:color w:val="000000"/>
          <w:sz w:val="22"/>
          <w:szCs w:val="22"/>
        </w:rPr>
        <w:sectPr>
          <w:headerReference r:id="rId4" w:type="first"/>
          <w:headerReference r:id="rId3" w:type="default"/>
          <w:footerReference r:id="rId5" w:type="default"/>
          <w:footerReference r:id="rId6" w:type="even"/>
          <w:pgSz w:w="11906" w:h="16838"/>
          <w:pgMar w:top="284" w:right="567" w:bottom="284" w:left="567" w:header="284" w:footer="567" w:gutter="0"/>
          <w:cols w:space="720" w:num="1"/>
          <w:titlePg/>
          <w:docGrid w:type="linesAndChars" w:linePitch="601" w:charSpace="-2260"/>
        </w:sectPr>
      </w:pPr>
      <w:r>
        <w:rPr>
          <w:rFonts w:hint="eastAsia" w:ascii="黑体" w:hAnsi="黑体" w:cs="黑体"/>
          <w:color w:val="000000"/>
          <w:sz w:val="21"/>
          <w:szCs w:val="21"/>
        </w:rPr>
        <w:t>（温馨提示：请认真阅读背面的协议条款，</w:t>
      </w:r>
      <w:r>
        <w:rPr>
          <w:rFonts w:hint="eastAsia" w:ascii="黑体" w:hAnsi="黑体" w:cs="黑体"/>
          <w:color w:val="000000"/>
          <w:sz w:val="21"/>
          <w:szCs w:val="21"/>
          <w:lang w:eastAsia="zh-CN"/>
        </w:rPr>
        <w:t>本协议书</w:t>
      </w:r>
      <w:r>
        <w:rPr>
          <w:rFonts w:hint="eastAsia" w:ascii="黑体" w:hAnsi="黑体" w:cs="黑体"/>
          <w:color w:val="000000"/>
          <w:sz w:val="21"/>
          <w:szCs w:val="21"/>
        </w:rPr>
        <w:t>一式两联，第一联银行传票联，装订传票；第二联客户联，由客户留存）</w:t>
      </w:r>
    </w:p>
    <w:p>
      <w:pPr>
        <w:spacing w:line="300" w:lineRule="exact"/>
        <w:jc w:val="center"/>
        <w:rPr>
          <w:rFonts w:hint="eastAsia" w:ascii="宋体" w:hAnsi="宋体" w:eastAsia="宋体" w:cs="宋体"/>
          <w:b/>
          <w:bCs/>
          <w:color w:val="000000"/>
          <w:kern w:val="32"/>
          <w:sz w:val="21"/>
          <w:szCs w:val="21"/>
        </w:rPr>
      </w:pPr>
      <w:r>
        <w:rPr>
          <w:rFonts w:hint="eastAsia" w:ascii="宋体" w:hAnsi="宋体" w:eastAsia="宋体" w:cs="宋体"/>
          <w:b/>
          <w:bCs/>
          <w:color w:val="000000"/>
          <w:kern w:val="32"/>
          <w:sz w:val="21"/>
          <w:szCs w:val="21"/>
        </w:rPr>
        <w:t>东莞银行</w:t>
      </w:r>
      <w:r>
        <w:rPr>
          <w:rFonts w:hint="eastAsia" w:ascii="宋体" w:hAnsi="宋体" w:eastAsia="宋体" w:cs="宋体"/>
          <w:b/>
          <w:bCs/>
          <w:color w:val="000000"/>
          <w:kern w:val="32"/>
          <w:sz w:val="21"/>
          <w:szCs w:val="21"/>
          <w:lang w:eastAsia="zh-CN"/>
        </w:rPr>
        <w:t>理财产品</w:t>
      </w:r>
      <w:r>
        <w:rPr>
          <w:rFonts w:hint="eastAsia" w:ascii="宋体" w:hAnsi="宋体" w:eastAsia="宋体" w:cs="宋体"/>
          <w:b/>
          <w:bCs/>
          <w:color w:val="000000"/>
          <w:kern w:val="32"/>
          <w:sz w:val="21"/>
          <w:szCs w:val="21"/>
        </w:rPr>
        <w:t>协议</w:t>
      </w:r>
      <w:r>
        <w:rPr>
          <w:rFonts w:hint="eastAsia" w:ascii="宋体" w:hAnsi="宋体" w:eastAsia="宋体" w:cs="宋体"/>
          <w:b/>
          <w:bCs/>
          <w:color w:val="000000"/>
          <w:kern w:val="32"/>
          <w:sz w:val="21"/>
          <w:szCs w:val="21"/>
          <w:lang w:val="en-US" w:eastAsia="zh-CN"/>
        </w:rPr>
        <w:t>书</w:t>
      </w:r>
    </w:p>
    <w:p>
      <w:pPr>
        <w:spacing w:line="300" w:lineRule="exact"/>
        <w:rPr>
          <w:rFonts w:hint="eastAsia" w:ascii="宋体" w:hAnsi="宋体" w:eastAsia="宋体" w:cs="宋体"/>
          <w:b/>
          <w:bCs/>
          <w:color w:val="000000"/>
          <w:kern w:val="32"/>
          <w:sz w:val="21"/>
          <w:szCs w:val="21"/>
        </w:rPr>
      </w:pPr>
    </w:p>
    <w:p>
      <w:pPr>
        <w:spacing w:line="300" w:lineRule="exact"/>
        <w:rPr>
          <w:rFonts w:hint="eastAsia" w:ascii="宋体" w:hAnsi="宋体" w:eastAsia="宋体" w:cs="宋体"/>
          <w:b/>
          <w:bCs/>
          <w:color w:val="000000"/>
          <w:sz w:val="18"/>
          <w:szCs w:val="18"/>
        </w:rPr>
      </w:pPr>
      <w:r>
        <w:rPr>
          <w:rFonts w:hint="eastAsia" w:ascii="宋体" w:hAnsi="宋体" w:eastAsia="宋体" w:cs="宋体"/>
          <w:b/>
          <w:bCs/>
          <w:color w:val="000000"/>
          <w:sz w:val="18"/>
          <w:szCs w:val="18"/>
        </w:rPr>
        <w:t>甲方：投资者（客户）                                乙方：东莞银行股份有限公司</w:t>
      </w:r>
    </w:p>
    <w:p>
      <w:pPr>
        <w:spacing w:line="300" w:lineRule="exact"/>
        <w:jc w:val="left"/>
        <w:rPr>
          <w:rFonts w:hint="eastAsia" w:ascii="宋体" w:hAnsi="宋体" w:eastAsia="宋体" w:cs="宋体"/>
          <w:b/>
          <w:bCs/>
          <w:color w:val="000000"/>
          <w:sz w:val="18"/>
          <w:szCs w:val="18"/>
        </w:rPr>
      </w:pPr>
    </w:p>
    <w:p>
      <w:pPr>
        <w:spacing w:line="300" w:lineRule="exact"/>
        <w:jc w:val="left"/>
        <w:rPr>
          <w:rFonts w:hint="eastAsia" w:ascii="宋体" w:hAnsi="宋体" w:eastAsia="宋体" w:cs="宋体"/>
          <w:b/>
          <w:bCs/>
          <w:color w:val="000000"/>
          <w:sz w:val="16"/>
          <w:szCs w:val="16"/>
        </w:rPr>
      </w:pPr>
    </w:p>
    <w:p>
      <w:pPr>
        <w:spacing w:line="300" w:lineRule="exact"/>
        <w:jc w:val="left"/>
        <w:rPr>
          <w:rFonts w:hint="eastAsia" w:ascii="宋体" w:hAnsi="宋体" w:eastAsia="宋体" w:cs="宋体"/>
          <w:b/>
          <w:bCs/>
          <w:color w:val="000000"/>
          <w:sz w:val="16"/>
          <w:szCs w:val="16"/>
        </w:rPr>
        <w:sectPr>
          <w:pgSz w:w="11906" w:h="16838"/>
          <w:pgMar w:top="624" w:right="907" w:bottom="624" w:left="907" w:header="283" w:footer="992" w:gutter="0"/>
          <w:cols w:space="720" w:num="1"/>
          <w:titlePg/>
          <w:docGrid w:type="lines" w:linePitch="601" w:charSpace="-2260"/>
        </w:sectPr>
      </w:pPr>
    </w:p>
    <w:p>
      <w:pPr>
        <w:numPr>
          <w:ilvl w:val="0"/>
          <w:numId w:val="0"/>
        </w:numPr>
        <w:tabs>
          <w:tab w:val="left" w:pos="360"/>
        </w:tabs>
        <w:spacing w:before="0" w:beforeLines="0" w:line="300" w:lineRule="exact"/>
        <w:ind w:firstLine="320" w:firstLineChars="200"/>
        <w:rPr>
          <w:rFonts w:hint="eastAsia" w:ascii="宋体" w:hAnsi="宋体" w:eastAsia="宋体" w:cs="宋体"/>
          <w:b w:val="0"/>
          <w:bCs w:val="0"/>
          <w:color w:val="000000"/>
          <w:sz w:val="16"/>
          <w:szCs w:val="16"/>
        </w:rPr>
      </w:pPr>
      <w:r>
        <w:rPr>
          <w:rFonts w:hint="eastAsia" w:ascii="宋体" w:hAnsi="宋体" w:eastAsia="宋体" w:cs="宋体"/>
          <w:b w:val="0"/>
          <w:bCs w:val="0"/>
          <w:color w:val="000000"/>
          <w:sz w:val="16"/>
          <w:szCs w:val="16"/>
        </w:rPr>
        <w:t>经甲方和乙方平等协商，就乙方向甲方销售</w:t>
      </w:r>
      <w:r>
        <w:rPr>
          <w:rFonts w:hint="eastAsia" w:ascii="宋体" w:hAnsi="宋体" w:eastAsia="宋体" w:cs="宋体"/>
          <w:b w:val="0"/>
          <w:bCs w:val="0"/>
          <w:color w:val="000000"/>
          <w:sz w:val="16"/>
          <w:szCs w:val="16"/>
          <w:lang w:val="en-US" w:eastAsia="zh-CN"/>
        </w:rPr>
        <w:t>乙方发行的</w:t>
      </w:r>
      <w:r>
        <w:rPr>
          <w:rFonts w:hint="eastAsia" w:ascii="宋体" w:hAnsi="宋体" w:eastAsia="宋体" w:cs="宋体"/>
          <w:b w:val="0"/>
          <w:bCs w:val="0"/>
          <w:color w:val="000000"/>
          <w:sz w:val="16"/>
          <w:szCs w:val="16"/>
        </w:rPr>
        <w:t>理财产品（以下简称"理财产品"），达成协议如下：</w:t>
      </w:r>
    </w:p>
    <w:p>
      <w:pPr>
        <w:numPr>
          <w:ilvl w:val="0"/>
          <w:numId w:val="1"/>
        </w:numPr>
        <w:tabs>
          <w:tab w:val="left" w:pos="360"/>
          <w:tab w:val="clear" w:pos="720"/>
        </w:tabs>
        <w:spacing w:before="120" w:beforeLines="20" w:line="300" w:lineRule="exact"/>
        <w:rPr>
          <w:rFonts w:hint="eastAsia" w:ascii="宋体" w:hAnsi="宋体" w:eastAsia="宋体" w:cs="宋体"/>
          <w:b/>
          <w:bCs/>
          <w:color w:val="000000"/>
          <w:sz w:val="16"/>
          <w:szCs w:val="16"/>
        </w:rPr>
      </w:pPr>
      <w:r>
        <w:rPr>
          <w:rFonts w:hint="eastAsia" w:ascii="宋体" w:hAnsi="宋体" w:eastAsia="宋体" w:cs="宋体"/>
          <w:b/>
          <w:bCs/>
          <w:color w:val="000000"/>
          <w:sz w:val="16"/>
          <w:szCs w:val="16"/>
        </w:rPr>
        <w:t>委托代理关系</w:t>
      </w:r>
    </w:p>
    <w:p>
      <w:pPr>
        <w:numPr>
          <w:ilvl w:val="0"/>
          <w:numId w:val="2"/>
        </w:numPr>
        <w:spacing w:line="300" w:lineRule="exact"/>
        <w:ind w:firstLine="320"/>
        <w:rPr>
          <w:rFonts w:hint="eastAsia" w:ascii="宋体" w:hAnsi="宋体" w:eastAsia="宋体" w:cs="宋体"/>
          <w:bCs/>
          <w:color w:val="000000"/>
          <w:kern w:val="15"/>
          <w:sz w:val="16"/>
          <w:szCs w:val="16"/>
        </w:rPr>
      </w:pPr>
      <w:r>
        <w:rPr>
          <w:rFonts w:hint="eastAsia" w:ascii="宋体" w:hAnsi="宋体" w:eastAsia="宋体" w:cs="宋体"/>
          <w:bCs/>
          <w:color w:val="000000"/>
          <w:kern w:val="15"/>
          <w:sz w:val="16"/>
          <w:szCs w:val="16"/>
        </w:rPr>
        <w:t>甲方签署</w:t>
      </w:r>
      <w:r>
        <w:rPr>
          <w:rFonts w:hint="eastAsia" w:ascii="宋体" w:hAnsi="宋体" w:eastAsia="宋体" w:cs="宋体"/>
          <w:bCs/>
          <w:color w:val="000000"/>
          <w:kern w:val="15"/>
          <w:sz w:val="16"/>
          <w:szCs w:val="16"/>
          <w:lang w:eastAsia="zh-CN"/>
        </w:rPr>
        <w:t>本协议书</w:t>
      </w:r>
      <w:r>
        <w:rPr>
          <w:rFonts w:hint="eastAsia" w:ascii="宋体" w:hAnsi="宋体" w:eastAsia="宋体" w:cs="宋体"/>
          <w:bCs/>
          <w:color w:val="000000"/>
          <w:kern w:val="15"/>
          <w:sz w:val="16"/>
          <w:szCs w:val="16"/>
        </w:rPr>
        <w:t>，即授权乙方或代理销售方在理财产品说明书约定的时间从甲方交易账户扣划</w:t>
      </w:r>
      <w:r>
        <w:rPr>
          <w:rFonts w:hint="eastAsia" w:ascii="宋体" w:hAnsi="宋体" w:eastAsia="宋体" w:cs="宋体"/>
          <w:bCs/>
          <w:color w:val="000000"/>
          <w:kern w:val="15"/>
          <w:sz w:val="16"/>
          <w:szCs w:val="16"/>
          <w:lang w:eastAsia="zh-CN"/>
        </w:rPr>
        <w:t>本协议书</w:t>
      </w:r>
      <w:r>
        <w:rPr>
          <w:rFonts w:hint="eastAsia" w:ascii="宋体" w:hAnsi="宋体" w:eastAsia="宋体" w:cs="宋体"/>
          <w:bCs/>
          <w:color w:val="000000"/>
          <w:kern w:val="15"/>
          <w:sz w:val="16"/>
          <w:szCs w:val="16"/>
        </w:rPr>
        <w:t>项下的理财款项，并</w:t>
      </w:r>
      <w:r>
        <w:rPr>
          <w:rFonts w:hint="eastAsia" w:ascii="宋体" w:hAnsi="宋体" w:eastAsia="宋体" w:cs="宋体"/>
          <w:color w:val="000000"/>
          <w:kern w:val="15"/>
          <w:sz w:val="16"/>
          <w:szCs w:val="16"/>
        </w:rPr>
        <w:t>按照产品说明书的投资计划、方式或范围进行投资和管理</w:t>
      </w:r>
      <w:r>
        <w:rPr>
          <w:rFonts w:hint="eastAsia" w:ascii="宋体" w:hAnsi="宋体" w:eastAsia="宋体" w:cs="宋体"/>
          <w:bCs/>
          <w:color w:val="000000"/>
          <w:kern w:val="15"/>
          <w:sz w:val="16"/>
          <w:szCs w:val="16"/>
        </w:rPr>
        <w:t>。</w:t>
      </w:r>
    </w:p>
    <w:p>
      <w:pPr>
        <w:numPr>
          <w:ilvl w:val="0"/>
          <w:numId w:val="2"/>
        </w:numPr>
        <w:spacing w:line="300" w:lineRule="exact"/>
        <w:ind w:firstLine="320" w:firstLineChars="0"/>
        <w:rPr>
          <w:rFonts w:hint="eastAsia" w:ascii="宋体" w:hAnsi="宋体" w:eastAsia="宋体" w:cs="宋体"/>
          <w:bCs/>
          <w:color w:val="000000"/>
          <w:sz w:val="16"/>
          <w:szCs w:val="16"/>
        </w:rPr>
      </w:pPr>
      <w:r>
        <w:rPr>
          <w:rFonts w:hint="eastAsia" w:ascii="宋体" w:hAnsi="宋体" w:eastAsia="宋体" w:cs="宋体"/>
          <w:bCs/>
          <w:color w:val="000000"/>
          <w:kern w:val="15"/>
          <w:sz w:val="16"/>
          <w:szCs w:val="16"/>
        </w:rPr>
        <w:t>乙方接受甲方的委托，有权根据</w:t>
      </w:r>
      <w:r>
        <w:rPr>
          <w:rFonts w:hint="eastAsia" w:ascii="宋体" w:hAnsi="宋体" w:eastAsia="宋体" w:cs="宋体"/>
          <w:bCs/>
          <w:color w:val="000000"/>
          <w:kern w:val="15"/>
          <w:sz w:val="16"/>
          <w:szCs w:val="16"/>
          <w:lang w:eastAsia="zh-CN"/>
        </w:rPr>
        <w:t>本协议书</w:t>
      </w:r>
      <w:r>
        <w:rPr>
          <w:rFonts w:hint="eastAsia" w:ascii="宋体" w:hAnsi="宋体" w:eastAsia="宋体" w:cs="宋体"/>
          <w:bCs/>
          <w:color w:val="000000"/>
          <w:kern w:val="15"/>
          <w:sz w:val="16"/>
          <w:szCs w:val="16"/>
        </w:rPr>
        <w:t>及产品说明书等向甲方收取代理费、管理费和销售费、托管费等费用，具体收费项目、条件、标准和方式以理财产品说明书中的约定为准。乙方及产品管理人据业务发展和投资管理情况，可对收费标准和收费方式等产品要素进行调整，但应在调整前通过理财产品销售文件约定的方式将有关情况及时向甲方披露。</w:t>
      </w:r>
    </w:p>
    <w:p>
      <w:pPr>
        <w:numPr>
          <w:ilvl w:val="0"/>
          <w:numId w:val="1"/>
        </w:numPr>
        <w:tabs>
          <w:tab w:val="left" w:pos="360"/>
          <w:tab w:val="clear" w:pos="720"/>
        </w:tabs>
        <w:spacing w:before="120" w:beforeLines="20" w:line="300" w:lineRule="exact"/>
        <w:rPr>
          <w:rFonts w:hint="eastAsia" w:ascii="宋体" w:hAnsi="宋体" w:eastAsia="宋体" w:cs="宋体"/>
          <w:b/>
          <w:bCs/>
          <w:color w:val="000000"/>
          <w:sz w:val="16"/>
          <w:szCs w:val="16"/>
          <w:lang w:val="en-US" w:eastAsia="zh-CN"/>
        </w:rPr>
      </w:pPr>
      <w:r>
        <w:rPr>
          <w:rFonts w:hint="eastAsia" w:ascii="宋体" w:hAnsi="宋体" w:eastAsia="宋体" w:cs="宋体"/>
          <w:b/>
          <w:bCs/>
          <w:color w:val="000000"/>
          <w:sz w:val="16"/>
          <w:szCs w:val="16"/>
          <w:lang w:val="en-US" w:eastAsia="zh-CN"/>
        </w:rPr>
        <w:t>风险提示</w:t>
      </w:r>
    </w:p>
    <w:p>
      <w:pPr>
        <w:numPr>
          <w:ilvl w:val="0"/>
          <w:numId w:val="3"/>
        </w:numPr>
        <w:spacing w:line="300" w:lineRule="exact"/>
        <w:ind w:firstLine="320"/>
        <w:rPr>
          <w:rFonts w:hint="eastAsia" w:ascii="宋体" w:hAnsi="宋体" w:eastAsia="宋体" w:cs="宋体"/>
          <w:b/>
          <w:bCs/>
          <w:color w:val="000000"/>
          <w:sz w:val="16"/>
          <w:szCs w:val="16"/>
        </w:rPr>
      </w:pPr>
      <w:r>
        <w:rPr>
          <w:rFonts w:hint="eastAsia" w:ascii="宋体" w:hAnsi="宋体" w:eastAsia="宋体" w:cs="宋体"/>
          <w:b/>
          <w:bCs/>
          <w:color w:val="000000"/>
          <w:sz w:val="16"/>
          <w:szCs w:val="16"/>
        </w:rPr>
        <w:t>理财非存款、产品有风险、投资须谨慎，理财产品过往业绩不代表其未来表现，不等于理财产品实际收益。投资理财产品可能面临信用风险、市场风险和流动性风险等风险因素，具体由甲方购买的理财产品的产品说明书和风险揭示书中揭示。甲方应仔细阅读并充分理解相关产品销售文件。</w:t>
      </w:r>
    </w:p>
    <w:p>
      <w:pPr>
        <w:numPr>
          <w:ilvl w:val="0"/>
          <w:numId w:val="3"/>
        </w:numPr>
        <w:spacing w:line="300" w:lineRule="exact"/>
        <w:ind w:firstLine="320"/>
        <w:rPr>
          <w:rFonts w:hint="eastAsia" w:ascii="宋体" w:hAnsi="宋体" w:eastAsia="宋体" w:cs="宋体"/>
          <w:bCs/>
          <w:color w:val="000000"/>
          <w:sz w:val="16"/>
          <w:szCs w:val="16"/>
        </w:rPr>
      </w:pPr>
      <w:r>
        <w:rPr>
          <w:rFonts w:hint="eastAsia" w:ascii="宋体" w:hAnsi="宋体" w:eastAsia="宋体" w:cs="宋体"/>
          <w:b/>
          <w:bCs/>
          <w:color w:val="000000"/>
          <w:sz w:val="16"/>
          <w:szCs w:val="16"/>
        </w:rPr>
        <w:t>对理财产品本金及收益的约定应以该理财产品的产品说明书为准。在任何情况下，乙方及其工作人员向甲方介绍的产品投资建议、产品收益和业绩比较基准等信息仅供甲方参考，甲方据此做出的任何决策出于投资者自身的判断，投资决策风险由甲方自行承担，不构成乙方对甲方的本金及收益承诺。</w:t>
      </w:r>
    </w:p>
    <w:p>
      <w:pPr>
        <w:numPr>
          <w:ilvl w:val="0"/>
          <w:numId w:val="1"/>
        </w:numPr>
        <w:tabs>
          <w:tab w:val="left" w:pos="360"/>
          <w:tab w:val="clear" w:pos="720"/>
        </w:tabs>
        <w:spacing w:before="120" w:beforeLines="20" w:line="300" w:lineRule="exact"/>
        <w:rPr>
          <w:rFonts w:hint="eastAsia" w:ascii="宋体" w:hAnsi="宋体" w:eastAsia="宋体" w:cs="宋体"/>
          <w:b/>
          <w:bCs/>
          <w:color w:val="000000"/>
          <w:sz w:val="16"/>
          <w:szCs w:val="16"/>
        </w:rPr>
      </w:pPr>
      <w:r>
        <w:rPr>
          <w:rFonts w:hint="eastAsia" w:ascii="宋体" w:hAnsi="宋体" w:eastAsia="宋体" w:cs="宋体"/>
          <w:b/>
          <w:bCs/>
          <w:color w:val="000000"/>
          <w:sz w:val="16"/>
          <w:szCs w:val="16"/>
        </w:rPr>
        <w:t>税收规定</w:t>
      </w:r>
    </w:p>
    <w:p>
      <w:p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理财产品中乙方不承担代甲方扣缴相关税费的义务，但法律法规</w:t>
      </w:r>
      <w:r>
        <w:rPr>
          <w:rFonts w:hint="eastAsia" w:ascii="宋体" w:hAnsi="宋体" w:eastAsia="宋体" w:cs="宋体"/>
          <w:bCs/>
          <w:color w:val="000000"/>
          <w:sz w:val="16"/>
          <w:szCs w:val="16"/>
          <w:lang w:val="en-US" w:eastAsia="zh-CN"/>
        </w:rPr>
        <w:t>另有</w:t>
      </w:r>
      <w:r>
        <w:rPr>
          <w:rFonts w:hint="eastAsia" w:ascii="宋体" w:hAnsi="宋体" w:eastAsia="宋体" w:cs="宋体"/>
          <w:bCs/>
          <w:color w:val="000000"/>
          <w:sz w:val="16"/>
          <w:szCs w:val="16"/>
        </w:rPr>
        <w:t>规定的除外。</w:t>
      </w:r>
    </w:p>
    <w:p>
      <w:pPr>
        <w:numPr>
          <w:ilvl w:val="0"/>
          <w:numId w:val="1"/>
        </w:numPr>
        <w:tabs>
          <w:tab w:val="left" w:pos="360"/>
          <w:tab w:val="clear" w:pos="720"/>
        </w:tabs>
        <w:spacing w:before="120" w:beforeLines="20" w:line="300" w:lineRule="exact"/>
        <w:rPr>
          <w:rFonts w:hint="eastAsia" w:ascii="宋体" w:hAnsi="宋体" w:eastAsia="宋体" w:cs="宋体"/>
          <w:b/>
          <w:bCs/>
          <w:color w:val="000000"/>
          <w:sz w:val="16"/>
          <w:szCs w:val="16"/>
        </w:rPr>
      </w:pPr>
      <w:r>
        <w:rPr>
          <w:rFonts w:hint="eastAsia" w:ascii="宋体" w:hAnsi="宋体" w:eastAsia="宋体" w:cs="宋体"/>
          <w:b/>
          <w:bCs/>
          <w:color w:val="000000"/>
          <w:sz w:val="16"/>
          <w:szCs w:val="16"/>
        </w:rPr>
        <w:t>资金和账户管理</w:t>
      </w:r>
    </w:p>
    <w:p>
      <w:pPr>
        <w:numPr>
          <w:ilvl w:val="0"/>
          <w:numId w:val="4"/>
        </w:numPr>
        <w:spacing w:line="300" w:lineRule="exact"/>
        <w:ind w:firstLine="320"/>
        <w:rPr>
          <w:rFonts w:ascii="宋体" w:hAnsi="宋体" w:eastAsia="宋体" w:cs="宋体"/>
          <w:bCs/>
          <w:color w:val="000000"/>
          <w:sz w:val="16"/>
          <w:szCs w:val="16"/>
        </w:rPr>
      </w:pPr>
      <w:r>
        <w:rPr>
          <w:rFonts w:hint="eastAsia" w:ascii="宋体" w:hAnsi="宋体" w:eastAsia="宋体" w:cs="宋体"/>
          <w:bCs/>
          <w:color w:val="000000"/>
          <w:sz w:val="16"/>
          <w:szCs w:val="16"/>
        </w:rPr>
        <w:t>甲方购买理财产品，需要在乙方开设账户，存入足够的资金，因甲方原因导致投资本金不能从甲方账户足额划转的，甲方购买的产品不成功、相关销售</w:t>
      </w:r>
      <w:r>
        <w:rPr>
          <w:rFonts w:hint="eastAsia" w:ascii="宋体" w:hAnsi="宋体" w:eastAsia="宋体" w:cs="宋体"/>
          <w:bCs/>
          <w:color w:val="000000"/>
          <w:sz w:val="16"/>
          <w:szCs w:val="16"/>
          <w:lang w:val="en-US" w:eastAsia="zh-CN"/>
        </w:rPr>
        <w:t>行为</w:t>
      </w:r>
      <w:r>
        <w:rPr>
          <w:rFonts w:hint="eastAsia" w:ascii="宋体" w:hAnsi="宋体" w:eastAsia="宋体" w:cs="宋体"/>
          <w:bCs/>
          <w:color w:val="000000"/>
          <w:sz w:val="16"/>
          <w:szCs w:val="16"/>
        </w:rPr>
        <w:t>不生效，由此产生的责任由甲方承担。交易日至认（申）购期结束日期间理财本金将按活期储蓄利率及活期储蓄存款的计息方式计算应得利息，并代扣利息税。</w:t>
      </w:r>
    </w:p>
    <w:p>
      <w:pPr>
        <w:numPr>
          <w:ilvl w:val="0"/>
          <w:numId w:val="4"/>
        </w:numPr>
        <w:spacing w:line="300" w:lineRule="exact"/>
        <w:ind w:firstLine="320"/>
        <w:rPr>
          <w:rFonts w:hint="eastAsia" w:ascii="宋体" w:hAnsi="宋体" w:eastAsia="宋体" w:cs="宋体"/>
          <w:bCs/>
          <w:color w:val="000000"/>
          <w:sz w:val="16"/>
          <w:szCs w:val="16"/>
        </w:rPr>
      </w:pPr>
      <w:r>
        <w:rPr>
          <w:rFonts w:hint="eastAsia" w:ascii="宋体" w:hAnsi="宋体" w:eastAsia="宋体" w:cs="宋体"/>
          <w:bCs/>
          <w:color w:val="000000"/>
          <w:sz w:val="16"/>
          <w:szCs w:val="16"/>
        </w:rPr>
        <w:t>除产品说明书另有约定外，甲方不能在</w:t>
      </w:r>
      <w:r>
        <w:rPr>
          <w:rFonts w:hint="eastAsia" w:ascii="宋体" w:hAnsi="宋体" w:eastAsia="宋体" w:cs="宋体"/>
          <w:bCs/>
          <w:color w:val="000000"/>
          <w:sz w:val="16"/>
          <w:szCs w:val="16"/>
          <w:lang w:val="en-US" w:eastAsia="zh-CN"/>
        </w:rPr>
        <w:t>产品封闭期内</w:t>
      </w:r>
      <w:r>
        <w:rPr>
          <w:rFonts w:hint="eastAsia" w:ascii="宋体" w:hAnsi="宋体" w:eastAsia="宋体" w:cs="宋体"/>
          <w:bCs/>
          <w:color w:val="000000"/>
          <w:sz w:val="16"/>
          <w:szCs w:val="16"/>
        </w:rPr>
        <w:t>提前全部或部分赎回理财产品。</w:t>
      </w:r>
    </w:p>
    <w:p>
      <w:pPr>
        <w:numPr>
          <w:ilvl w:val="0"/>
          <w:numId w:val="4"/>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成立日及清算期期间将不计付任何利息或收益；理财本金及收益返还日至支取日之间按活期储蓄利率及活期储蓄存款的计息方式计算利息，并代扣利息税。</w:t>
      </w:r>
    </w:p>
    <w:p>
      <w:p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4、乙方按照理财产品说明书约定将甲方赎回或理财产品到期资金划转至甲方理财账户，在</w:t>
      </w:r>
      <w:r>
        <w:rPr>
          <w:rFonts w:hint="eastAsia" w:ascii="宋体" w:hAnsi="宋体" w:eastAsia="宋体" w:cs="宋体"/>
          <w:bCs/>
          <w:color w:val="000000"/>
          <w:sz w:val="16"/>
          <w:szCs w:val="16"/>
          <w:lang w:eastAsia="zh-CN"/>
        </w:rPr>
        <w:t>本协议书</w:t>
      </w:r>
      <w:r>
        <w:rPr>
          <w:rFonts w:hint="eastAsia" w:ascii="宋体" w:hAnsi="宋体" w:eastAsia="宋体" w:cs="宋体"/>
          <w:bCs/>
          <w:color w:val="000000"/>
          <w:sz w:val="16"/>
          <w:szCs w:val="16"/>
        </w:rPr>
        <w:t>终止前，甲方应保证甲方理财账户的状态正常，因任何原因造成该账户销户或状态不正常，甲方有义务对乙方作出合理说明，并书面申请变更，但乙方有权根据理财账户操作情况决定是否予以变更；如因甲方的原因导致资金不能及时、准确入账，由此产生的损失由甲方自行承担。</w:t>
      </w:r>
    </w:p>
    <w:p>
      <w:pPr>
        <w:spacing w:line="300" w:lineRule="exact"/>
        <w:ind w:firstLine="321" w:firstLineChars="200"/>
        <w:rPr>
          <w:rFonts w:ascii="宋体" w:hAnsi="宋体" w:eastAsia="宋体" w:cs="宋体"/>
          <w:b/>
          <w:bCs w:val="0"/>
          <w:color w:val="000000"/>
          <w:sz w:val="16"/>
          <w:szCs w:val="16"/>
        </w:rPr>
      </w:pPr>
      <w:r>
        <w:rPr>
          <w:rFonts w:hint="eastAsia" w:ascii="宋体" w:hAnsi="宋体" w:eastAsia="宋体" w:cs="宋体"/>
          <w:b/>
          <w:bCs w:val="0"/>
          <w:color w:val="000000"/>
          <w:sz w:val="16"/>
          <w:szCs w:val="16"/>
        </w:rPr>
        <w:t>5、理财产品的信息以产品说明书中约定的方式进行披露，乙方将提供理财产品的月度账单，但有权不再单独为甲方提供有关资产变动、收入和费用、期末资产估值等情况的账单。</w:t>
      </w:r>
    </w:p>
    <w:p>
      <w:pPr>
        <w:spacing w:line="300" w:lineRule="exact"/>
        <w:ind w:firstLine="321" w:firstLineChars="200"/>
        <w:rPr>
          <w:rFonts w:hint="eastAsia" w:ascii="宋体" w:hAnsi="宋体" w:eastAsia="宋体" w:cs="宋体"/>
          <w:b/>
          <w:bCs w:val="0"/>
          <w:color w:val="000000"/>
          <w:sz w:val="16"/>
          <w:szCs w:val="16"/>
        </w:rPr>
      </w:pPr>
      <w:r>
        <w:rPr>
          <w:rFonts w:hint="eastAsia" w:ascii="宋体" w:hAnsi="宋体" w:eastAsia="宋体" w:cs="宋体"/>
          <w:b/>
          <w:bCs w:val="0"/>
          <w:color w:val="000000"/>
          <w:sz w:val="16"/>
          <w:szCs w:val="16"/>
        </w:rPr>
        <w:t>6、</w:t>
      </w:r>
      <w:r>
        <w:rPr>
          <w:rFonts w:hint="eastAsia" w:ascii="宋体" w:hAnsi="宋体" w:eastAsia="宋体" w:cs="宋体"/>
          <w:b/>
          <w:bCs w:val="0"/>
          <w:color w:val="000000"/>
          <w:sz w:val="16"/>
          <w:szCs w:val="16"/>
          <w:lang w:val="en-US" w:eastAsia="zh-CN"/>
        </w:rPr>
        <w:t>乙</w:t>
      </w:r>
      <w:r>
        <w:rPr>
          <w:rFonts w:hint="eastAsia" w:ascii="宋体" w:hAnsi="宋体" w:eastAsia="宋体" w:cs="宋体"/>
          <w:b/>
          <w:bCs w:val="0"/>
          <w:color w:val="000000"/>
          <w:sz w:val="16"/>
          <w:szCs w:val="16"/>
        </w:rPr>
        <w:t>方对部分理财产品提供提前到账服务的，</w:t>
      </w:r>
      <w:r>
        <w:rPr>
          <w:rFonts w:hint="eastAsia" w:ascii="宋体" w:hAnsi="宋体" w:eastAsia="宋体" w:cs="宋体"/>
          <w:b/>
          <w:bCs w:val="0"/>
          <w:color w:val="000000"/>
          <w:sz w:val="16"/>
          <w:szCs w:val="16"/>
          <w:lang w:val="en-US" w:eastAsia="zh-CN"/>
        </w:rPr>
        <w:t>甲</w:t>
      </w:r>
      <w:r>
        <w:rPr>
          <w:rFonts w:hint="eastAsia" w:ascii="宋体" w:hAnsi="宋体" w:eastAsia="宋体" w:cs="宋体"/>
          <w:b/>
          <w:bCs w:val="0"/>
          <w:color w:val="000000"/>
          <w:sz w:val="16"/>
          <w:szCs w:val="16"/>
        </w:rPr>
        <w:t>方同意并</w:t>
      </w:r>
      <w:r>
        <w:rPr>
          <w:rFonts w:hint="eastAsia" w:ascii="宋体" w:hAnsi="宋体" w:eastAsia="宋体" w:cs="宋体"/>
          <w:b/>
          <w:bCs w:val="0"/>
          <w:color w:val="000000"/>
          <w:sz w:val="16"/>
          <w:szCs w:val="16"/>
          <w:lang w:val="en-US" w:eastAsia="zh-CN"/>
        </w:rPr>
        <w:t>确认</w:t>
      </w:r>
      <w:r>
        <w:rPr>
          <w:rFonts w:hint="eastAsia" w:ascii="宋体" w:hAnsi="宋体" w:eastAsia="宋体" w:cs="宋体"/>
          <w:b/>
          <w:bCs w:val="0"/>
          <w:color w:val="000000"/>
          <w:sz w:val="16"/>
          <w:szCs w:val="16"/>
        </w:rPr>
        <w:t>自</w:t>
      </w:r>
      <w:r>
        <w:rPr>
          <w:rFonts w:hint="eastAsia" w:ascii="宋体" w:hAnsi="宋体" w:eastAsia="宋体" w:cs="宋体"/>
          <w:b/>
          <w:bCs w:val="0"/>
          <w:color w:val="000000"/>
          <w:sz w:val="16"/>
          <w:szCs w:val="16"/>
          <w:lang w:val="en-US" w:eastAsia="zh-CN"/>
        </w:rPr>
        <w:t>甲</w:t>
      </w:r>
      <w:r>
        <w:rPr>
          <w:rFonts w:hint="eastAsia" w:ascii="宋体" w:hAnsi="宋体" w:eastAsia="宋体" w:cs="宋体"/>
          <w:b/>
          <w:bCs w:val="0"/>
          <w:color w:val="000000"/>
          <w:sz w:val="16"/>
          <w:szCs w:val="16"/>
        </w:rPr>
        <w:t>方收到赎回资金时，</w:t>
      </w:r>
      <w:r>
        <w:rPr>
          <w:rFonts w:hint="eastAsia" w:ascii="宋体" w:hAnsi="宋体" w:eastAsia="宋体" w:cs="宋体"/>
          <w:b/>
          <w:bCs w:val="0"/>
          <w:color w:val="000000"/>
          <w:sz w:val="16"/>
          <w:szCs w:val="16"/>
          <w:lang w:val="en-US" w:eastAsia="zh-CN"/>
        </w:rPr>
        <w:t>乙方</w:t>
      </w:r>
      <w:r>
        <w:rPr>
          <w:rFonts w:hint="eastAsia" w:ascii="宋体" w:hAnsi="宋体" w:eastAsia="宋体" w:cs="宋体"/>
          <w:b/>
          <w:bCs w:val="0"/>
          <w:color w:val="000000"/>
          <w:sz w:val="16"/>
          <w:szCs w:val="16"/>
        </w:rPr>
        <w:t>将</w:t>
      </w:r>
      <w:r>
        <w:rPr>
          <w:rFonts w:hint="eastAsia" w:ascii="宋体" w:hAnsi="宋体" w:eastAsia="宋体" w:cs="宋体"/>
          <w:b/>
          <w:bCs w:val="0"/>
          <w:color w:val="000000"/>
          <w:sz w:val="16"/>
          <w:szCs w:val="16"/>
          <w:lang w:val="en-US" w:eastAsia="zh-CN"/>
        </w:rPr>
        <w:t>取得</w:t>
      </w:r>
      <w:r>
        <w:rPr>
          <w:rFonts w:hint="eastAsia" w:ascii="宋体" w:hAnsi="宋体" w:eastAsia="宋体" w:cs="宋体"/>
          <w:b/>
          <w:bCs w:val="0"/>
          <w:color w:val="000000"/>
          <w:sz w:val="16"/>
          <w:szCs w:val="16"/>
        </w:rPr>
        <w:t>到账资金对应</w:t>
      </w:r>
      <w:r>
        <w:rPr>
          <w:rFonts w:hint="eastAsia" w:ascii="宋体" w:hAnsi="宋体" w:eastAsia="宋体" w:cs="宋体"/>
          <w:b/>
          <w:bCs w:val="0"/>
          <w:color w:val="000000"/>
          <w:sz w:val="16"/>
          <w:szCs w:val="16"/>
          <w:lang w:val="en-US" w:eastAsia="zh-CN"/>
        </w:rPr>
        <w:t>份额</w:t>
      </w:r>
      <w:r>
        <w:rPr>
          <w:rFonts w:hint="eastAsia" w:ascii="宋体" w:hAnsi="宋体" w:eastAsia="宋体" w:cs="宋体"/>
          <w:b/>
          <w:bCs w:val="0"/>
          <w:color w:val="000000"/>
          <w:sz w:val="16"/>
          <w:szCs w:val="16"/>
        </w:rPr>
        <w:t>的理财</w:t>
      </w:r>
      <w:r>
        <w:rPr>
          <w:rFonts w:hint="eastAsia" w:ascii="宋体" w:hAnsi="宋体" w:eastAsia="宋体" w:cs="宋体"/>
          <w:b/>
          <w:bCs w:val="0"/>
          <w:color w:val="000000"/>
          <w:sz w:val="16"/>
          <w:szCs w:val="16"/>
          <w:lang w:val="en-US" w:eastAsia="zh-CN"/>
        </w:rPr>
        <w:t>产品的所有</w:t>
      </w:r>
      <w:r>
        <w:rPr>
          <w:rFonts w:hint="eastAsia" w:ascii="宋体" w:hAnsi="宋体" w:eastAsia="宋体" w:cs="宋体"/>
          <w:b/>
          <w:bCs w:val="0"/>
          <w:color w:val="000000"/>
          <w:sz w:val="16"/>
          <w:szCs w:val="16"/>
        </w:rPr>
        <w:t>权益。</w:t>
      </w:r>
    </w:p>
    <w:p>
      <w:pPr>
        <w:numPr>
          <w:ilvl w:val="0"/>
          <w:numId w:val="1"/>
        </w:numPr>
        <w:tabs>
          <w:tab w:val="left" w:pos="360"/>
          <w:tab w:val="clear" w:pos="720"/>
        </w:tabs>
        <w:spacing w:before="120" w:beforeLines="20" w:line="300" w:lineRule="exact"/>
        <w:rPr>
          <w:rFonts w:hint="eastAsia" w:ascii="宋体" w:hAnsi="宋体" w:eastAsia="宋体" w:cs="宋体"/>
          <w:b/>
          <w:bCs/>
          <w:color w:val="000000"/>
          <w:sz w:val="16"/>
          <w:szCs w:val="16"/>
        </w:rPr>
      </w:pPr>
      <w:r>
        <w:rPr>
          <w:rFonts w:hint="eastAsia" w:ascii="宋体" w:hAnsi="宋体" w:eastAsia="宋体" w:cs="宋体"/>
          <w:b/>
          <w:bCs/>
          <w:color w:val="000000"/>
          <w:sz w:val="16"/>
          <w:szCs w:val="16"/>
        </w:rPr>
        <w:t>声明与保证</w:t>
      </w:r>
    </w:p>
    <w:p>
      <w:pPr>
        <w:numPr>
          <w:ilvl w:val="0"/>
          <w:numId w:val="5"/>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甲乙双方分别向对方声明并保证本方具有完全适当的资格与能力订立及履行</w:t>
      </w:r>
      <w:r>
        <w:rPr>
          <w:rFonts w:hint="eastAsia" w:ascii="宋体" w:hAnsi="宋体" w:eastAsia="宋体" w:cs="宋体"/>
          <w:bCs/>
          <w:color w:val="000000"/>
          <w:sz w:val="16"/>
          <w:szCs w:val="16"/>
          <w:lang w:eastAsia="zh-CN"/>
        </w:rPr>
        <w:t>本协议书</w:t>
      </w:r>
      <w:r>
        <w:rPr>
          <w:rFonts w:hint="eastAsia" w:ascii="宋体" w:hAnsi="宋体" w:eastAsia="宋体" w:cs="宋体"/>
          <w:bCs/>
          <w:color w:val="000000"/>
          <w:sz w:val="16"/>
          <w:szCs w:val="16"/>
        </w:rPr>
        <w:t>。</w:t>
      </w:r>
    </w:p>
    <w:p>
      <w:pPr>
        <w:widowControl/>
        <w:numPr>
          <w:ilvl w:val="0"/>
          <w:numId w:val="5"/>
        </w:numPr>
        <w:spacing w:line="300" w:lineRule="exact"/>
        <w:ind w:firstLine="321" w:firstLineChars="200"/>
        <w:jc w:val="left"/>
        <w:rPr>
          <w:rFonts w:hint="eastAsia" w:ascii="宋体" w:hAnsi="宋体" w:eastAsia="宋体" w:cs="宋体"/>
          <w:b/>
          <w:color w:val="000000"/>
          <w:sz w:val="16"/>
          <w:szCs w:val="16"/>
          <w:highlight w:val="none"/>
        </w:rPr>
      </w:pPr>
      <w:r>
        <w:rPr>
          <w:rFonts w:hint="eastAsia" w:ascii="宋体" w:hAnsi="宋体" w:eastAsia="宋体" w:cs="宋体"/>
          <w:b/>
          <w:color w:val="000000"/>
          <w:sz w:val="16"/>
          <w:szCs w:val="16"/>
          <w:highlight w:val="none"/>
          <w:lang w:val="en-US" w:eastAsia="zh-CN"/>
        </w:rPr>
        <w:t>甲方承诺购买理财产品的资金为甲方自有资金，甲方承诺不使用贷款、发行债券等筹集的非自有资金进行理财产品投资。</w:t>
      </w:r>
    </w:p>
    <w:p>
      <w:pPr>
        <w:numPr>
          <w:ilvl w:val="0"/>
          <w:numId w:val="1"/>
        </w:numPr>
        <w:tabs>
          <w:tab w:val="left" w:pos="360"/>
          <w:tab w:val="clear" w:pos="720"/>
        </w:tabs>
        <w:spacing w:before="120" w:beforeLines="20" w:line="300" w:lineRule="exact"/>
        <w:ind w:left="720" w:hanging="720"/>
        <w:rPr>
          <w:rFonts w:hint="eastAsia" w:ascii="宋体" w:hAnsi="宋体" w:eastAsia="宋体" w:cs="宋体"/>
          <w:b/>
          <w:bCs/>
          <w:color w:val="000000"/>
          <w:sz w:val="16"/>
          <w:szCs w:val="16"/>
        </w:rPr>
      </w:pPr>
      <w:r>
        <w:rPr>
          <w:rFonts w:hint="eastAsia" w:ascii="宋体" w:hAnsi="宋体" w:eastAsia="宋体" w:cs="宋体"/>
          <w:b/>
          <w:bCs/>
          <w:color w:val="000000"/>
          <w:sz w:val="16"/>
          <w:szCs w:val="16"/>
        </w:rPr>
        <w:t>信息与隐私保护</w:t>
      </w:r>
    </w:p>
    <w:p>
      <w:pPr>
        <w:numPr>
          <w:ilvl w:val="0"/>
          <w:numId w:val="6"/>
        </w:numPr>
        <w:spacing w:line="300" w:lineRule="exact"/>
        <w:ind w:firstLine="321" w:firstLineChars="200"/>
        <w:rPr>
          <w:rFonts w:hint="eastAsia" w:ascii="宋体" w:hAnsi="宋体" w:eastAsia="宋体" w:cs="宋体"/>
          <w:b/>
          <w:bCs w:val="0"/>
          <w:color w:val="000000"/>
          <w:sz w:val="16"/>
          <w:szCs w:val="16"/>
        </w:rPr>
      </w:pPr>
      <w:r>
        <w:rPr>
          <w:rFonts w:hint="eastAsia" w:ascii="宋体" w:hAnsi="宋体" w:eastAsia="宋体" w:cs="宋体"/>
          <w:b/>
          <w:bCs w:val="0"/>
          <w:color w:val="000000"/>
          <w:sz w:val="16"/>
          <w:szCs w:val="16"/>
        </w:rPr>
        <w:t>投资者信息收集</w:t>
      </w:r>
    </w:p>
    <w:p>
      <w:pPr>
        <w:numPr>
          <w:ilvl w:val="0"/>
          <w:numId w:val="0"/>
        </w:numPr>
        <w:spacing w:line="300" w:lineRule="exact"/>
        <w:ind w:firstLine="321" w:firstLineChars="200"/>
        <w:rPr>
          <w:rFonts w:hint="eastAsia" w:ascii="宋体" w:hAnsi="宋体" w:eastAsia="宋体" w:cs="宋体"/>
          <w:b/>
          <w:bCs w:val="0"/>
          <w:color w:val="000000"/>
          <w:sz w:val="16"/>
          <w:szCs w:val="16"/>
        </w:rPr>
      </w:pPr>
      <w:r>
        <w:rPr>
          <w:rFonts w:hint="eastAsia" w:ascii="宋体" w:hAnsi="宋体" w:eastAsia="宋体" w:cs="宋体"/>
          <w:b/>
          <w:bCs w:val="0"/>
          <w:color w:val="000000"/>
          <w:sz w:val="16"/>
          <w:szCs w:val="16"/>
        </w:rPr>
        <w:t>甲方同意并授权乙方有权按照法律法规和监管要求，根据甲方所勾选的业务申请类型，收集并存储甲方在乙方办理本业务过程中主动提供</w:t>
      </w:r>
      <w:r>
        <w:rPr>
          <w:rFonts w:hint="eastAsia" w:ascii="宋体" w:hAnsi="宋体" w:eastAsia="宋体" w:cs="宋体"/>
          <w:b/>
          <w:bCs w:val="0"/>
          <w:color w:val="000000"/>
          <w:sz w:val="16"/>
          <w:szCs w:val="16"/>
          <w:lang w:val="en-US" w:eastAsia="zh-CN"/>
        </w:rPr>
        <w:t>或</w:t>
      </w:r>
      <w:r>
        <w:rPr>
          <w:rFonts w:hint="eastAsia" w:ascii="宋体" w:hAnsi="宋体" w:eastAsia="宋体" w:cs="宋体"/>
          <w:b/>
          <w:bCs w:val="0"/>
          <w:color w:val="000000"/>
          <w:sz w:val="16"/>
          <w:szCs w:val="16"/>
        </w:rPr>
        <w:t>因使用服务而产生的个人信息，包括甲方的身份证件或其他身份证明文件信息、联系方式、账户信息、风险评估等级、合格投资者认证信息（如购买私募类产品）、本次购买理财产品的交易记录等满足监管要求的必要数据信息和资料。</w:t>
      </w:r>
    </w:p>
    <w:p>
      <w:pPr>
        <w:numPr>
          <w:ilvl w:val="0"/>
          <w:numId w:val="6"/>
        </w:numPr>
        <w:spacing w:line="300" w:lineRule="exact"/>
        <w:ind w:firstLine="321" w:firstLineChars="200"/>
        <w:rPr>
          <w:rFonts w:hint="eastAsia" w:ascii="宋体" w:hAnsi="宋体" w:eastAsia="宋体" w:cs="宋体"/>
          <w:b/>
          <w:bCs w:val="0"/>
          <w:color w:val="000000"/>
          <w:sz w:val="16"/>
          <w:szCs w:val="16"/>
        </w:rPr>
      </w:pPr>
      <w:r>
        <w:rPr>
          <w:rFonts w:hint="eastAsia" w:ascii="宋体" w:hAnsi="宋体" w:eastAsia="宋体" w:cs="宋体"/>
          <w:b/>
          <w:bCs w:val="0"/>
          <w:color w:val="000000"/>
          <w:sz w:val="16"/>
          <w:szCs w:val="16"/>
        </w:rPr>
        <w:t>投资者信息使用</w:t>
      </w:r>
    </w:p>
    <w:p>
      <w:pPr>
        <w:numPr>
          <w:ilvl w:val="0"/>
          <w:numId w:val="0"/>
        </w:numPr>
        <w:spacing w:line="300" w:lineRule="exact"/>
        <w:ind w:firstLine="321" w:firstLineChars="200"/>
        <w:rPr>
          <w:rFonts w:hint="eastAsia" w:ascii="宋体" w:hAnsi="宋体" w:eastAsia="宋体" w:cs="宋体"/>
          <w:b/>
          <w:bCs w:val="0"/>
          <w:color w:val="000000"/>
          <w:sz w:val="16"/>
          <w:szCs w:val="16"/>
        </w:rPr>
      </w:pPr>
      <w:r>
        <w:rPr>
          <w:rFonts w:hint="eastAsia" w:ascii="宋体" w:hAnsi="宋体" w:eastAsia="宋体" w:cs="宋体"/>
          <w:b/>
          <w:bCs w:val="0"/>
          <w:color w:val="000000"/>
          <w:sz w:val="16"/>
          <w:szCs w:val="16"/>
          <w:lang w:eastAsia="zh-CN"/>
        </w:rPr>
        <w:t>乙方</w:t>
      </w:r>
      <w:r>
        <w:rPr>
          <w:rFonts w:hint="eastAsia" w:ascii="宋体" w:hAnsi="宋体" w:eastAsia="宋体" w:cs="宋体"/>
          <w:b/>
          <w:bCs w:val="0"/>
          <w:color w:val="000000"/>
          <w:sz w:val="16"/>
          <w:szCs w:val="16"/>
        </w:rPr>
        <w:t>将投资者信息用于如下用途：</w:t>
      </w:r>
    </w:p>
    <w:p>
      <w:pPr>
        <w:numPr>
          <w:ilvl w:val="0"/>
          <w:numId w:val="0"/>
        </w:numPr>
        <w:spacing w:line="300" w:lineRule="exact"/>
        <w:ind w:firstLine="321" w:firstLineChars="200"/>
        <w:rPr>
          <w:rFonts w:hint="eastAsia" w:ascii="宋体" w:hAnsi="宋体" w:eastAsia="宋体" w:cs="宋体"/>
          <w:b/>
          <w:bCs w:val="0"/>
          <w:color w:val="000000"/>
          <w:sz w:val="16"/>
          <w:szCs w:val="16"/>
        </w:rPr>
      </w:pPr>
      <w:r>
        <w:rPr>
          <w:rFonts w:hint="eastAsia" w:ascii="宋体" w:hAnsi="宋体" w:eastAsia="宋体" w:cs="宋体"/>
          <w:b/>
          <w:bCs w:val="0"/>
          <w:color w:val="000000"/>
          <w:sz w:val="16"/>
          <w:szCs w:val="16"/>
        </w:rPr>
        <w:t>(1)为投资者提供并不断改进提升</w:t>
      </w:r>
      <w:r>
        <w:rPr>
          <w:rFonts w:hint="eastAsia" w:ascii="宋体" w:hAnsi="宋体" w:eastAsia="宋体" w:cs="宋体"/>
          <w:b/>
          <w:bCs w:val="0"/>
          <w:color w:val="000000"/>
          <w:sz w:val="16"/>
          <w:szCs w:val="16"/>
          <w:lang w:eastAsia="zh-CN"/>
        </w:rPr>
        <w:t>理财</w:t>
      </w:r>
      <w:r>
        <w:rPr>
          <w:rFonts w:hint="eastAsia" w:ascii="宋体" w:hAnsi="宋体" w:eastAsia="宋体" w:cs="宋体"/>
          <w:b/>
          <w:bCs w:val="0"/>
          <w:color w:val="000000"/>
          <w:sz w:val="16"/>
          <w:szCs w:val="16"/>
        </w:rPr>
        <w:t>产品销售服务；</w:t>
      </w:r>
    </w:p>
    <w:p>
      <w:pPr>
        <w:numPr>
          <w:ilvl w:val="0"/>
          <w:numId w:val="0"/>
        </w:numPr>
        <w:spacing w:line="300" w:lineRule="exact"/>
        <w:ind w:firstLine="321" w:firstLineChars="200"/>
        <w:rPr>
          <w:rFonts w:hint="eastAsia" w:ascii="宋体" w:hAnsi="宋体" w:eastAsia="宋体" w:cs="宋体"/>
          <w:b/>
          <w:bCs w:val="0"/>
          <w:color w:val="000000"/>
          <w:sz w:val="16"/>
          <w:szCs w:val="16"/>
        </w:rPr>
      </w:pPr>
      <w:r>
        <w:rPr>
          <w:rFonts w:hint="eastAsia" w:ascii="宋体" w:hAnsi="宋体" w:eastAsia="宋体" w:cs="宋体"/>
          <w:b/>
          <w:bCs w:val="0"/>
          <w:color w:val="000000"/>
          <w:sz w:val="16"/>
          <w:szCs w:val="16"/>
        </w:rPr>
        <w:t>(2)与代理销售方等第三方机构进行验证核对投资者信息及交易信息；</w:t>
      </w:r>
    </w:p>
    <w:p>
      <w:pPr>
        <w:numPr>
          <w:ilvl w:val="0"/>
          <w:numId w:val="0"/>
        </w:numPr>
        <w:spacing w:line="300" w:lineRule="exact"/>
        <w:ind w:firstLine="321" w:firstLineChars="200"/>
        <w:rPr>
          <w:rFonts w:hint="eastAsia" w:ascii="宋体" w:hAnsi="宋体" w:eastAsia="宋体" w:cs="宋体"/>
          <w:b/>
          <w:bCs w:val="0"/>
          <w:color w:val="000000"/>
          <w:sz w:val="16"/>
          <w:szCs w:val="16"/>
        </w:rPr>
      </w:pPr>
      <w:r>
        <w:rPr>
          <w:rFonts w:hint="eastAsia" w:ascii="宋体" w:hAnsi="宋体" w:eastAsia="宋体" w:cs="宋体"/>
          <w:b/>
          <w:bCs w:val="0"/>
          <w:color w:val="000000"/>
          <w:sz w:val="16"/>
          <w:szCs w:val="16"/>
        </w:rPr>
        <w:t>(3)为投资者提供产品销售相关提示信息、对账单、交易确认信息和营销信息。如投资者不希望接收营销信息，可按照信息提示内容退订；</w:t>
      </w:r>
    </w:p>
    <w:p>
      <w:pPr>
        <w:numPr>
          <w:ilvl w:val="0"/>
          <w:numId w:val="0"/>
        </w:numPr>
        <w:spacing w:line="300" w:lineRule="exact"/>
        <w:ind w:firstLine="321" w:firstLineChars="200"/>
        <w:rPr>
          <w:rFonts w:hint="eastAsia" w:ascii="宋体" w:hAnsi="宋体" w:eastAsia="宋体" w:cs="宋体"/>
          <w:b/>
          <w:bCs w:val="0"/>
          <w:color w:val="000000"/>
          <w:sz w:val="16"/>
          <w:szCs w:val="16"/>
        </w:rPr>
      </w:pPr>
      <w:r>
        <w:rPr>
          <w:rFonts w:hint="eastAsia" w:ascii="宋体" w:hAnsi="宋体" w:eastAsia="宋体" w:cs="宋体"/>
          <w:b/>
          <w:bCs w:val="0"/>
          <w:color w:val="000000"/>
          <w:sz w:val="16"/>
          <w:szCs w:val="16"/>
        </w:rPr>
        <w:t>(</w:t>
      </w:r>
      <w:r>
        <w:rPr>
          <w:rFonts w:hint="eastAsia" w:ascii="宋体" w:hAnsi="宋体" w:eastAsia="宋体" w:cs="宋体"/>
          <w:b/>
          <w:bCs w:val="0"/>
          <w:color w:val="000000"/>
          <w:sz w:val="16"/>
          <w:szCs w:val="16"/>
          <w:lang w:val="en-US" w:eastAsia="zh-CN"/>
        </w:rPr>
        <w:t>4</w:t>
      </w:r>
      <w:r>
        <w:rPr>
          <w:rFonts w:hint="eastAsia" w:ascii="宋体" w:hAnsi="宋体" w:eastAsia="宋体" w:cs="宋体"/>
          <w:b/>
          <w:bCs w:val="0"/>
          <w:color w:val="000000"/>
          <w:sz w:val="16"/>
          <w:szCs w:val="16"/>
        </w:rPr>
        <w:t>)法律法规、监管规定或有权机关要求报送</w:t>
      </w:r>
      <w:r>
        <w:rPr>
          <w:rFonts w:hint="eastAsia" w:ascii="宋体" w:hAnsi="宋体" w:eastAsia="宋体" w:cs="宋体"/>
          <w:b/>
          <w:bCs w:val="0"/>
          <w:color w:val="000000"/>
          <w:sz w:val="16"/>
          <w:szCs w:val="16"/>
          <w:lang w:eastAsia="zh-CN"/>
        </w:rPr>
        <w:t>或留存</w:t>
      </w:r>
      <w:r>
        <w:rPr>
          <w:rFonts w:hint="eastAsia" w:ascii="宋体" w:hAnsi="宋体" w:eastAsia="宋体" w:cs="宋体"/>
          <w:b/>
          <w:bCs w:val="0"/>
          <w:color w:val="000000"/>
          <w:sz w:val="16"/>
          <w:szCs w:val="16"/>
        </w:rPr>
        <w:t>信息。</w:t>
      </w:r>
    </w:p>
    <w:p>
      <w:pPr>
        <w:numPr>
          <w:ilvl w:val="0"/>
          <w:numId w:val="6"/>
        </w:numPr>
        <w:spacing w:line="300" w:lineRule="exact"/>
        <w:ind w:firstLine="321" w:firstLineChars="200"/>
        <w:rPr>
          <w:rFonts w:hint="eastAsia" w:ascii="宋体" w:hAnsi="宋体" w:eastAsia="宋体" w:cs="宋体"/>
          <w:b/>
          <w:bCs w:val="0"/>
          <w:color w:val="000000"/>
          <w:sz w:val="16"/>
          <w:szCs w:val="16"/>
        </w:rPr>
      </w:pPr>
      <w:r>
        <w:rPr>
          <w:rFonts w:hint="eastAsia" w:ascii="宋体" w:hAnsi="宋体" w:eastAsia="宋体" w:cs="宋体"/>
          <w:b/>
          <w:bCs w:val="0"/>
          <w:color w:val="000000"/>
          <w:sz w:val="16"/>
          <w:szCs w:val="16"/>
        </w:rPr>
        <w:t>投资者信息共享</w:t>
      </w:r>
    </w:p>
    <w:p>
      <w:pPr>
        <w:numPr>
          <w:ilvl w:val="0"/>
          <w:numId w:val="0"/>
        </w:numPr>
        <w:spacing w:line="300" w:lineRule="exact"/>
        <w:ind w:firstLine="321" w:firstLineChars="200"/>
        <w:rPr>
          <w:rFonts w:hint="eastAsia" w:ascii="宋体" w:hAnsi="宋体" w:eastAsia="宋体" w:cs="宋体"/>
          <w:b/>
          <w:bCs w:val="0"/>
          <w:color w:val="000000"/>
          <w:sz w:val="16"/>
          <w:szCs w:val="16"/>
        </w:rPr>
      </w:pPr>
      <w:r>
        <w:rPr>
          <w:rFonts w:hint="eastAsia" w:ascii="宋体" w:hAnsi="宋体" w:eastAsia="宋体" w:cs="宋体"/>
          <w:b/>
          <w:bCs w:val="0"/>
          <w:color w:val="000000"/>
          <w:sz w:val="16"/>
          <w:szCs w:val="16"/>
        </w:rPr>
        <w:t>在如下情况下，</w:t>
      </w:r>
      <w:r>
        <w:rPr>
          <w:rFonts w:hint="eastAsia" w:ascii="宋体" w:hAnsi="宋体" w:eastAsia="宋体" w:cs="宋体"/>
          <w:b/>
          <w:bCs w:val="0"/>
          <w:color w:val="000000"/>
          <w:sz w:val="16"/>
          <w:szCs w:val="16"/>
          <w:lang w:eastAsia="zh-CN"/>
        </w:rPr>
        <w:t>乙方</w:t>
      </w:r>
      <w:r>
        <w:rPr>
          <w:rFonts w:hint="eastAsia" w:ascii="宋体" w:hAnsi="宋体" w:eastAsia="宋体" w:cs="宋体"/>
          <w:b/>
          <w:bCs w:val="0"/>
          <w:color w:val="000000"/>
          <w:sz w:val="16"/>
          <w:szCs w:val="16"/>
        </w:rPr>
        <w:t>需要向第三方合作机构共享投资者信息：</w:t>
      </w:r>
    </w:p>
    <w:p>
      <w:pPr>
        <w:numPr>
          <w:ilvl w:val="0"/>
          <w:numId w:val="0"/>
        </w:numPr>
        <w:spacing w:line="300" w:lineRule="exact"/>
        <w:ind w:firstLine="321" w:firstLineChars="200"/>
        <w:rPr>
          <w:rFonts w:hint="eastAsia" w:ascii="宋体" w:hAnsi="宋体" w:eastAsia="宋体" w:cs="宋体"/>
          <w:b/>
          <w:bCs w:val="0"/>
          <w:color w:val="000000"/>
          <w:sz w:val="16"/>
          <w:szCs w:val="16"/>
        </w:rPr>
      </w:pPr>
      <w:r>
        <w:rPr>
          <w:rFonts w:hint="eastAsia" w:ascii="宋体" w:hAnsi="宋体" w:eastAsia="宋体" w:cs="宋体"/>
          <w:b/>
          <w:bCs w:val="0"/>
          <w:color w:val="000000"/>
          <w:sz w:val="16"/>
          <w:szCs w:val="16"/>
        </w:rPr>
        <w:t>(1)为完整提供</w:t>
      </w:r>
      <w:r>
        <w:rPr>
          <w:rFonts w:hint="eastAsia" w:ascii="宋体" w:hAnsi="宋体" w:eastAsia="宋体" w:cs="宋体"/>
          <w:b/>
          <w:bCs w:val="0"/>
          <w:color w:val="000000"/>
          <w:sz w:val="16"/>
          <w:szCs w:val="16"/>
          <w:lang w:eastAsia="zh-CN"/>
        </w:rPr>
        <w:t>理财</w:t>
      </w:r>
      <w:r>
        <w:rPr>
          <w:rFonts w:hint="eastAsia" w:ascii="宋体" w:hAnsi="宋体" w:eastAsia="宋体" w:cs="宋体"/>
          <w:b/>
          <w:bCs w:val="0"/>
          <w:color w:val="000000"/>
          <w:sz w:val="16"/>
          <w:szCs w:val="16"/>
        </w:rPr>
        <w:t>产品销售服务、投诉或争议处理而必须提供投资者信息；</w:t>
      </w:r>
    </w:p>
    <w:p>
      <w:pPr>
        <w:numPr>
          <w:ilvl w:val="0"/>
          <w:numId w:val="0"/>
        </w:numPr>
        <w:spacing w:line="300" w:lineRule="exact"/>
        <w:ind w:firstLine="321" w:firstLineChars="200"/>
        <w:rPr>
          <w:rFonts w:hint="eastAsia" w:ascii="宋体" w:hAnsi="宋体" w:eastAsia="宋体" w:cs="宋体"/>
          <w:b/>
          <w:bCs w:val="0"/>
          <w:color w:val="000000"/>
          <w:sz w:val="16"/>
          <w:szCs w:val="16"/>
        </w:rPr>
      </w:pPr>
      <w:r>
        <w:rPr>
          <w:rFonts w:hint="eastAsia" w:ascii="宋体" w:hAnsi="宋体" w:eastAsia="宋体" w:cs="宋体"/>
          <w:b/>
          <w:bCs w:val="0"/>
          <w:color w:val="000000"/>
          <w:sz w:val="16"/>
          <w:szCs w:val="16"/>
        </w:rPr>
        <w:t>(2)为判断投资者资金账户或单笔交易是否安全可信；</w:t>
      </w:r>
    </w:p>
    <w:p>
      <w:pPr>
        <w:numPr>
          <w:ilvl w:val="0"/>
          <w:numId w:val="0"/>
        </w:numPr>
        <w:spacing w:line="300" w:lineRule="exact"/>
        <w:ind w:firstLine="321" w:firstLineChars="200"/>
        <w:rPr>
          <w:rFonts w:hint="eastAsia" w:ascii="宋体" w:hAnsi="宋体" w:eastAsia="宋体" w:cs="宋体"/>
          <w:b/>
          <w:bCs w:val="0"/>
          <w:color w:val="000000"/>
          <w:sz w:val="16"/>
          <w:szCs w:val="16"/>
        </w:rPr>
      </w:pPr>
      <w:r>
        <w:rPr>
          <w:rFonts w:hint="eastAsia" w:ascii="宋体" w:hAnsi="宋体" w:eastAsia="宋体" w:cs="宋体"/>
          <w:b/>
          <w:bCs w:val="0"/>
          <w:color w:val="000000"/>
          <w:sz w:val="16"/>
          <w:szCs w:val="16"/>
        </w:rPr>
        <w:t>(3)法律法规、监管规定或有权机关要求</w:t>
      </w:r>
      <w:r>
        <w:rPr>
          <w:rFonts w:hint="eastAsia" w:ascii="宋体" w:hAnsi="宋体" w:eastAsia="宋体" w:cs="宋体"/>
          <w:b/>
          <w:bCs w:val="0"/>
          <w:color w:val="000000"/>
          <w:sz w:val="16"/>
          <w:szCs w:val="16"/>
          <w:lang w:eastAsia="zh-CN"/>
        </w:rPr>
        <w:t>乙方</w:t>
      </w:r>
      <w:r>
        <w:rPr>
          <w:rFonts w:hint="eastAsia" w:ascii="宋体" w:hAnsi="宋体" w:eastAsia="宋体" w:cs="宋体"/>
          <w:b/>
          <w:bCs w:val="0"/>
          <w:color w:val="000000"/>
          <w:sz w:val="16"/>
          <w:szCs w:val="16"/>
          <w:lang w:val="en-US" w:eastAsia="zh-CN"/>
        </w:rPr>
        <w:t>报送或向第三方合作机构披露</w:t>
      </w:r>
      <w:r>
        <w:rPr>
          <w:rFonts w:hint="eastAsia" w:ascii="宋体" w:hAnsi="宋体" w:eastAsia="宋体" w:cs="宋体"/>
          <w:b/>
          <w:bCs w:val="0"/>
          <w:color w:val="000000"/>
          <w:sz w:val="16"/>
          <w:szCs w:val="16"/>
        </w:rPr>
        <w:t>信息。</w:t>
      </w:r>
    </w:p>
    <w:p>
      <w:pPr>
        <w:numPr>
          <w:ilvl w:val="0"/>
          <w:numId w:val="6"/>
        </w:numPr>
        <w:spacing w:line="300" w:lineRule="exact"/>
        <w:ind w:firstLine="321" w:firstLineChars="200"/>
        <w:rPr>
          <w:rFonts w:hint="eastAsia" w:ascii="宋体" w:hAnsi="宋体" w:eastAsia="宋体" w:cs="宋体"/>
          <w:b/>
          <w:bCs w:val="0"/>
          <w:color w:val="000000"/>
          <w:sz w:val="16"/>
          <w:szCs w:val="16"/>
        </w:rPr>
      </w:pPr>
      <w:r>
        <w:rPr>
          <w:rFonts w:hint="eastAsia" w:ascii="宋体" w:hAnsi="宋体" w:eastAsia="宋体" w:cs="宋体"/>
          <w:b/>
          <w:bCs w:val="0"/>
          <w:color w:val="000000"/>
          <w:sz w:val="16"/>
          <w:szCs w:val="16"/>
        </w:rPr>
        <w:t>投资者信息保护</w:t>
      </w:r>
    </w:p>
    <w:p>
      <w:pPr>
        <w:numPr>
          <w:ilvl w:val="0"/>
          <w:numId w:val="0"/>
        </w:numPr>
        <w:spacing w:line="300" w:lineRule="exact"/>
        <w:ind w:firstLine="321" w:firstLineChars="200"/>
        <w:rPr>
          <w:rFonts w:hint="eastAsia" w:ascii="宋体" w:hAnsi="宋体" w:eastAsia="宋体" w:cs="宋体"/>
          <w:bCs/>
          <w:color w:val="000000"/>
          <w:sz w:val="16"/>
          <w:szCs w:val="16"/>
        </w:rPr>
      </w:pPr>
      <w:r>
        <w:rPr>
          <w:rFonts w:hint="eastAsia" w:ascii="宋体" w:hAnsi="宋体" w:eastAsia="宋体" w:cs="宋体"/>
          <w:b/>
          <w:bCs w:val="0"/>
          <w:color w:val="000000"/>
          <w:sz w:val="16"/>
          <w:szCs w:val="16"/>
          <w:lang w:eastAsia="zh-CN"/>
        </w:rPr>
        <w:t>乙方</w:t>
      </w:r>
      <w:r>
        <w:rPr>
          <w:rFonts w:hint="eastAsia" w:ascii="宋体" w:hAnsi="宋体" w:eastAsia="宋体" w:cs="宋体"/>
          <w:b/>
          <w:bCs w:val="0"/>
          <w:color w:val="000000"/>
          <w:sz w:val="16"/>
          <w:szCs w:val="16"/>
        </w:rPr>
        <w:t>将严格按照相关法律法规的要求保护投资者的信息安全。</w:t>
      </w:r>
    </w:p>
    <w:p>
      <w:pPr>
        <w:numPr>
          <w:ilvl w:val="0"/>
          <w:numId w:val="1"/>
        </w:numPr>
        <w:tabs>
          <w:tab w:val="left" w:pos="360"/>
          <w:tab w:val="clear" w:pos="720"/>
        </w:tabs>
        <w:spacing w:before="120" w:beforeLines="20" w:line="300" w:lineRule="exact"/>
        <w:ind w:left="720" w:hanging="720"/>
        <w:rPr>
          <w:rFonts w:hint="eastAsia" w:ascii="宋体" w:hAnsi="宋体" w:eastAsia="宋体" w:cs="宋体"/>
          <w:b/>
          <w:bCs/>
          <w:color w:val="000000"/>
          <w:sz w:val="16"/>
          <w:szCs w:val="16"/>
        </w:rPr>
      </w:pPr>
      <w:r>
        <w:rPr>
          <w:rFonts w:hint="eastAsia" w:ascii="宋体" w:hAnsi="宋体" w:eastAsia="宋体" w:cs="宋体"/>
          <w:b/>
          <w:bCs/>
          <w:color w:val="000000"/>
          <w:sz w:val="16"/>
          <w:szCs w:val="16"/>
        </w:rPr>
        <w:t>反洗钱与合规要求</w:t>
      </w:r>
    </w:p>
    <w:p>
      <w:pPr>
        <w:numPr>
          <w:ilvl w:val="0"/>
          <w:numId w:val="0"/>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甲方同意配合乙方根据反洗钱、反恐怖融资及非居民金融账户涉税信息尽职调查等相关法律法规</w:t>
      </w:r>
      <w:r>
        <w:rPr>
          <w:rFonts w:hint="eastAsia" w:ascii="宋体" w:hAnsi="宋体" w:eastAsia="宋体" w:cs="宋体"/>
          <w:bCs/>
          <w:color w:val="000000"/>
          <w:sz w:val="16"/>
          <w:szCs w:val="16"/>
          <w:lang w:val="en-US" w:eastAsia="zh-CN"/>
        </w:rPr>
        <w:t>和监管要求</w:t>
      </w:r>
      <w:r>
        <w:rPr>
          <w:rFonts w:hint="eastAsia" w:ascii="宋体" w:hAnsi="宋体" w:eastAsia="宋体" w:cs="宋体"/>
          <w:bCs/>
          <w:color w:val="000000"/>
          <w:sz w:val="16"/>
          <w:szCs w:val="16"/>
        </w:rPr>
        <w:t>进行的客户身份识别、尽职调查。乙方根据甲方申请的业务类型调取并使用甲方的姓名、性别、国籍、职业、地址、联系方式、证件类型、证件号码、证件有效期、税收居民身份信息、交易账户信息、CRS涉税信息、合格投资者信息等（机构客户客户为名称、住所、经营范围、证明文件的名称、号码和有效期限；控股股东或者实际控制人、</w:t>
      </w:r>
      <w:r>
        <w:rPr>
          <w:rFonts w:hint="eastAsia" w:ascii="宋体" w:hAnsi="宋体" w:eastAsia="宋体" w:cs="宋体"/>
          <w:bCs/>
          <w:color w:val="000000"/>
          <w:sz w:val="16"/>
          <w:szCs w:val="16"/>
          <w:lang w:val="en-US" w:eastAsia="zh-CN"/>
        </w:rPr>
        <w:t>受益所有人、</w:t>
      </w:r>
      <w:r>
        <w:rPr>
          <w:rFonts w:hint="eastAsia" w:ascii="宋体" w:hAnsi="宋体" w:eastAsia="宋体" w:cs="宋体"/>
          <w:bCs/>
          <w:color w:val="000000"/>
          <w:sz w:val="16"/>
          <w:szCs w:val="16"/>
        </w:rPr>
        <w:t>法定代表人、负责人和授权办理业务人员的姓名、</w:t>
      </w:r>
      <w:r>
        <w:rPr>
          <w:rFonts w:hint="eastAsia" w:ascii="宋体" w:hAnsi="宋体" w:eastAsia="宋体" w:cs="宋体"/>
          <w:bCs/>
          <w:color w:val="000000"/>
          <w:sz w:val="16"/>
          <w:szCs w:val="16"/>
          <w:lang w:val="en-US" w:eastAsia="zh-CN"/>
        </w:rPr>
        <w:t>住所、</w:t>
      </w:r>
      <w:r>
        <w:rPr>
          <w:rFonts w:hint="eastAsia" w:ascii="宋体" w:hAnsi="宋体" w:eastAsia="宋体" w:cs="宋体"/>
          <w:bCs/>
          <w:color w:val="000000"/>
          <w:sz w:val="16"/>
          <w:szCs w:val="16"/>
        </w:rPr>
        <w:t>身份证明文件种类、号码、有效期限），以便完成甲方申请业务的确认和法律法规、监管规定或有权机关要求报送的信息。当以上相关信息发生变更时，甲方应及时更新留存在乙方的身份信息，如甲方在乙方留存的身份证件或者身份证明文件已过有效期，且没有在合理期限内更新或提出合理理由的，乙方有权限制、暂停使用</w:t>
      </w:r>
      <w:r>
        <w:rPr>
          <w:rFonts w:hint="eastAsia" w:ascii="宋体" w:hAnsi="宋体" w:eastAsia="宋体" w:cs="宋体"/>
          <w:bCs/>
          <w:color w:val="000000"/>
          <w:sz w:val="16"/>
          <w:szCs w:val="16"/>
          <w:lang w:val="en-US" w:eastAsia="zh-CN"/>
        </w:rPr>
        <w:t>本</w:t>
      </w:r>
      <w:r>
        <w:rPr>
          <w:rFonts w:hint="eastAsia" w:ascii="宋体" w:hAnsi="宋体" w:eastAsia="宋体" w:cs="宋体"/>
          <w:bCs/>
          <w:color w:val="000000"/>
          <w:sz w:val="16"/>
          <w:szCs w:val="16"/>
        </w:rPr>
        <w:t>业务或终止</w:t>
      </w:r>
      <w:r>
        <w:rPr>
          <w:rFonts w:hint="eastAsia" w:ascii="宋体" w:hAnsi="宋体" w:eastAsia="宋体" w:cs="宋体"/>
          <w:bCs/>
          <w:color w:val="000000"/>
          <w:sz w:val="16"/>
          <w:szCs w:val="16"/>
          <w:lang w:val="en-US" w:eastAsia="zh-CN"/>
        </w:rPr>
        <w:t>本</w:t>
      </w:r>
      <w:r>
        <w:rPr>
          <w:rFonts w:hint="eastAsia" w:ascii="宋体" w:hAnsi="宋体" w:eastAsia="宋体" w:cs="宋体"/>
          <w:bCs/>
          <w:color w:val="000000"/>
          <w:sz w:val="16"/>
          <w:szCs w:val="16"/>
        </w:rPr>
        <w:t>协议，并且不承担任何违约责任。甲方承诺本人、甲方授权使用人及甲方受益所有人不存在涉嫌洗钱罪及其上游犯罪等行为。如果甲方不配合乙方的客户身份识别</w:t>
      </w:r>
      <w:r>
        <w:rPr>
          <w:rFonts w:hint="eastAsia" w:ascii="宋体" w:hAnsi="宋体" w:eastAsia="宋体" w:cs="宋体"/>
          <w:bCs/>
          <w:color w:val="000000"/>
          <w:sz w:val="16"/>
          <w:szCs w:val="16"/>
          <w:lang w:eastAsia="zh-CN"/>
        </w:rPr>
        <w:t>、</w:t>
      </w:r>
      <w:r>
        <w:rPr>
          <w:rFonts w:hint="eastAsia" w:ascii="宋体" w:hAnsi="宋体" w:eastAsia="宋体" w:cs="宋体"/>
          <w:bCs/>
          <w:color w:val="000000"/>
          <w:sz w:val="16"/>
          <w:szCs w:val="16"/>
          <w:lang w:val="en-US" w:eastAsia="zh-CN"/>
        </w:rPr>
        <w:t>尽职调查</w:t>
      </w:r>
      <w:r>
        <w:rPr>
          <w:rFonts w:hint="eastAsia" w:ascii="宋体" w:hAnsi="宋体" w:eastAsia="宋体" w:cs="宋体"/>
          <w:bCs/>
          <w:color w:val="000000"/>
          <w:sz w:val="16"/>
          <w:szCs w:val="16"/>
        </w:rPr>
        <w:t>工作或者客户存在涉嫌洗钱行为的，乙方有权限制、暂停使用</w:t>
      </w:r>
      <w:r>
        <w:rPr>
          <w:rFonts w:hint="eastAsia" w:ascii="宋体" w:hAnsi="宋体" w:eastAsia="宋体" w:cs="宋体"/>
          <w:bCs/>
          <w:color w:val="000000"/>
          <w:sz w:val="16"/>
          <w:szCs w:val="16"/>
          <w:lang w:val="en-US" w:eastAsia="zh-CN"/>
        </w:rPr>
        <w:t>本</w:t>
      </w:r>
      <w:r>
        <w:rPr>
          <w:rFonts w:hint="eastAsia" w:ascii="宋体" w:hAnsi="宋体" w:eastAsia="宋体" w:cs="宋体"/>
          <w:bCs/>
          <w:color w:val="000000"/>
          <w:sz w:val="16"/>
          <w:szCs w:val="16"/>
        </w:rPr>
        <w:t>业务或终止</w:t>
      </w:r>
      <w:r>
        <w:rPr>
          <w:rFonts w:hint="eastAsia" w:ascii="宋体" w:hAnsi="宋体" w:eastAsia="宋体" w:cs="宋体"/>
          <w:bCs/>
          <w:color w:val="000000"/>
          <w:sz w:val="16"/>
          <w:szCs w:val="16"/>
          <w:lang w:val="en-US" w:eastAsia="zh-CN"/>
        </w:rPr>
        <w:t>本</w:t>
      </w:r>
      <w:r>
        <w:rPr>
          <w:rFonts w:hint="eastAsia" w:ascii="宋体" w:hAnsi="宋体" w:eastAsia="宋体" w:cs="宋体"/>
          <w:bCs/>
          <w:color w:val="000000"/>
          <w:sz w:val="16"/>
          <w:szCs w:val="16"/>
        </w:rPr>
        <w:t>协议，并且不承担任何违约责任。</w:t>
      </w:r>
    </w:p>
    <w:p>
      <w:pPr>
        <w:numPr>
          <w:ilvl w:val="0"/>
          <w:numId w:val="0"/>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如发现投资者下列情形时，</w:t>
      </w:r>
      <w:r>
        <w:rPr>
          <w:rFonts w:hint="eastAsia" w:ascii="宋体" w:hAnsi="宋体" w:eastAsia="宋体" w:cs="宋体"/>
          <w:bCs/>
          <w:color w:val="000000"/>
          <w:sz w:val="16"/>
          <w:szCs w:val="16"/>
          <w:lang w:eastAsia="zh-CN"/>
        </w:rPr>
        <w:t>乙方</w:t>
      </w:r>
      <w:r>
        <w:rPr>
          <w:rFonts w:hint="eastAsia" w:ascii="宋体" w:hAnsi="宋体" w:eastAsia="宋体" w:cs="宋体"/>
          <w:bCs/>
          <w:color w:val="000000"/>
          <w:sz w:val="16"/>
          <w:szCs w:val="16"/>
        </w:rPr>
        <w:t>有权终止本协议，有权拒绝继续提供服务：</w:t>
      </w:r>
    </w:p>
    <w:p>
      <w:pPr>
        <w:numPr>
          <w:ilvl w:val="0"/>
          <w:numId w:val="7"/>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被列入国际组织、当地监管或有关外国政府的制裁名单，</w:t>
      </w:r>
      <w:r>
        <w:rPr>
          <w:rFonts w:hint="eastAsia" w:ascii="宋体" w:hAnsi="宋体" w:eastAsia="宋体" w:cs="宋体"/>
          <w:bCs/>
          <w:color w:val="000000"/>
          <w:sz w:val="16"/>
          <w:szCs w:val="16"/>
          <w:lang w:val="en-US" w:eastAsia="zh-CN"/>
        </w:rPr>
        <w:t>或被公安部的有权机关列入涉恐名单、通缉名单、黑名单，</w:t>
      </w:r>
      <w:r>
        <w:rPr>
          <w:rFonts w:hint="eastAsia" w:ascii="宋体" w:hAnsi="宋体" w:eastAsia="宋体" w:cs="宋体"/>
          <w:bCs/>
          <w:color w:val="000000"/>
          <w:sz w:val="16"/>
          <w:szCs w:val="16"/>
        </w:rPr>
        <w:t>且相关名单在乙方或当地监管禁止提供</w:t>
      </w:r>
      <w:r>
        <w:rPr>
          <w:rFonts w:hint="eastAsia" w:ascii="宋体" w:hAnsi="宋体" w:eastAsia="宋体" w:cs="宋体"/>
          <w:bCs/>
          <w:color w:val="000000"/>
          <w:sz w:val="16"/>
          <w:szCs w:val="16"/>
          <w:lang w:val="en-US" w:eastAsia="zh-CN"/>
        </w:rPr>
        <w:t>金融</w:t>
      </w:r>
      <w:r>
        <w:rPr>
          <w:rFonts w:hint="eastAsia" w:ascii="宋体" w:hAnsi="宋体" w:eastAsia="宋体" w:cs="宋体"/>
          <w:bCs/>
          <w:color w:val="000000"/>
          <w:sz w:val="16"/>
          <w:szCs w:val="16"/>
        </w:rPr>
        <w:t>服务、禁止交易之列。</w:t>
      </w:r>
    </w:p>
    <w:p>
      <w:pPr>
        <w:numPr>
          <w:ilvl w:val="0"/>
          <w:numId w:val="7"/>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从事洗钱、恐怖融资或其他违法犯罪行为被司法机关定罪量刑。</w:t>
      </w:r>
    </w:p>
    <w:p>
      <w:pPr>
        <w:numPr>
          <w:ilvl w:val="0"/>
          <w:numId w:val="7"/>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涉嫌洗钱、恐怖融资或其他违法犯罪行为被刑事调查，或涉嫌从事大规模杀伤性武器扩散等违反制裁行为，并使</w:t>
      </w:r>
      <w:r>
        <w:rPr>
          <w:rFonts w:hint="eastAsia" w:ascii="宋体" w:hAnsi="宋体" w:eastAsia="宋体" w:cs="宋体"/>
          <w:bCs/>
          <w:color w:val="000000"/>
          <w:sz w:val="16"/>
          <w:szCs w:val="16"/>
          <w:lang w:eastAsia="zh-CN"/>
        </w:rPr>
        <w:t>乙方</w:t>
      </w:r>
      <w:r>
        <w:rPr>
          <w:rFonts w:hint="eastAsia" w:ascii="宋体" w:hAnsi="宋体" w:eastAsia="宋体" w:cs="宋体"/>
          <w:bCs/>
          <w:color w:val="000000"/>
          <w:sz w:val="16"/>
          <w:szCs w:val="16"/>
        </w:rPr>
        <w:t>遭受或可能遭受重大声誉、财务等损失。</w:t>
      </w:r>
    </w:p>
    <w:p>
      <w:pPr>
        <w:numPr>
          <w:ilvl w:val="0"/>
          <w:numId w:val="7"/>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有合理理由怀疑涉嫌洗钱、恐怖融资或其他违法犯罪行为，或涉嫌从事大规模杀伤性武器扩散等违反制裁行为，要求提供证明交易合法性、真实性等相关材料，投资者无合理理由拒绝配合。</w:t>
      </w:r>
    </w:p>
    <w:p>
      <w:pPr>
        <w:numPr>
          <w:ilvl w:val="0"/>
          <w:numId w:val="7"/>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机构投资者董事、高级管理人员、控股股东或者实际控制人、</w:t>
      </w:r>
      <w:r>
        <w:rPr>
          <w:rFonts w:hint="eastAsia" w:ascii="宋体" w:hAnsi="宋体" w:eastAsia="宋体" w:cs="宋体"/>
          <w:bCs/>
          <w:color w:val="000000"/>
          <w:sz w:val="16"/>
          <w:szCs w:val="16"/>
          <w:lang w:val="en-US" w:eastAsia="zh-CN"/>
        </w:rPr>
        <w:t>受益所有人、</w:t>
      </w:r>
      <w:r>
        <w:rPr>
          <w:rFonts w:hint="eastAsia" w:ascii="宋体" w:hAnsi="宋体" w:eastAsia="宋体" w:cs="宋体"/>
          <w:bCs/>
          <w:color w:val="000000"/>
          <w:sz w:val="16"/>
          <w:szCs w:val="16"/>
        </w:rPr>
        <w:t>代理人或有权签字人，列入国际组织、当地监管或有关外国政府的制裁名单</w:t>
      </w:r>
      <w:r>
        <w:rPr>
          <w:rFonts w:hint="eastAsia" w:ascii="宋体" w:hAnsi="宋体" w:eastAsia="宋体" w:cs="宋体"/>
          <w:bCs/>
          <w:color w:val="000000"/>
          <w:sz w:val="16"/>
          <w:szCs w:val="16"/>
          <w:lang w:eastAsia="zh-CN"/>
        </w:rPr>
        <w:t>，</w:t>
      </w:r>
      <w:r>
        <w:rPr>
          <w:rFonts w:hint="eastAsia" w:ascii="宋体" w:hAnsi="宋体" w:eastAsia="宋体" w:cs="宋体"/>
          <w:bCs/>
          <w:color w:val="000000"/>
          <w:sz w:val="16"/>
          <w:szCs w:val="16"/>
          <w:lang w:val="en-US" w:eastAsia="zh-CN"/>
        </w:rPr>
        <w:t>或被公安部的有权机关列入涉恐名单、通缉名单、黑名单</w:t>
      </w:r>
      <w:r>
        <w:rPr>
          <w:rFonts w:hint="eastAsia" w:ascii="宋体" w:hAnsi="宋体" w:eastAsia="宋体" w:cs="宋体"/>
          <w:bCs/>
          <w:color w:val="000000"/>
          <w:sz w:val="16"/>
          <w:szCs w:val="16"/>
        </w:rPr>
        <w:t>。</w:t>
      </w:r>
    </w:p>
    <w:p>
      <w:pPr>
        <w:numPr>
          <w:ilvl w:val="0"/>
          <w:numId w:val="1"/>
        </w:numPr>
        <w:tabs>
          <w:tab w:val="left" w:pos="360"/>
          <w:tab w:val="clear" w:pos="720"/>
        </w:tabs>
        <w:spacing w:before="120" w:beforeLines="20" w:line="300" w:lineRule="exact"/>
        <w:rPr>
          <w:rFonts w:hint="eastAsia" w:ascii="宋体" w:hAnsi="宋体" w:eastAsia="宋体" w:cs="宋体"/>
          <w:b/>
          <w:bCs/>
          <w:color w:val="000000"/>
          <w:sz w:val="16"/>
          <w:szCs w:val="16"/>
        </w:rPr>
      </w:pPr>
      <w:r>
        <w:rPr>
          <w:rFonts w:hint="eastAsia" w:ascii="宋体" w:hAnsi="宋体" w:eastAsia="宋体" w:cs="宋体"/>
          <w:b/>
          <w:bCs/>
          <w:color w:val="000000"/>
          <w:sz w:val="16"/>
          <w:szCs w:val="16"/>
        </w:rPr>
        <w:t>不可抗力和免责事由</w:t>
      </w:r>
    </w:p>
    <w:p>
      <w:pPr>
        <w:numPr>
          <w:ilvl w:val="0"/>
          <w:numId w:val="8"/>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由于地震、火灾、战争等不可抗力</w:t>
      </w:r>
      <w:r>
        <w:rPr>
          <w:rFonts w:hint="eastAsia" w:ascii="宋体" w:hAnsi="宋体" w:eastAsia="宋体" w:cs="宋体"/>
          <w:bCs/>
          <w:color w:val="000000"/>
          <w:sz w:val="16"/>
          <w:szCs w:val="16"/>
          <w:lang w:eastAsia="zh-CN"/>
        </w:rPr>
        <w:t>，</w:t>
      </w:r>
      <w:r>
        <w:rPr>
          <w:rFonts w:hint="eastAsia" w:ascii="宋体" w:hAnsi="宋体" w:eastAsia="宋体" w:cs="宋体"/>
          <w:bCs/>
          <w:color w:val="000000"/>
          <w:sz w:val="16"/>
          <w:szCs w:val="16"/>
          <w:lang w:val="en-US" w:eastAsia="zh-CN"/>
        </w:rPr>
        <w:t>或由于</w:t>
      </w:r>
      <w:r>
        <w:rPr>
          <w:rFonts w:hint="eastAsia" w:ascii="宋体" w:hAnsi="宋体" w:eastAsia="宋体" w:cs="宋体"/>
          <w:bCs/>
          <w:color w:val="000000"/>
          <w:sz w:val="16"/>
          <w:szCs w:val="16"/>
          <w:lang w:eastAsia="zh-CN"/>
        </w:rPr>
        <w:t>电信部门的通讯故障、技术缺陷、网络攻击或病毒破坏</w:t>
      </w:r>
      <w:r>
        <w:rPr>
          <w:rFonts w:hint="eastAsia" w:ascii="宋体" w:hAnsi="宋体" w:eastAsia="宋体" w:cs="宋体"/>
          <w:bCs/>
          <w:color w:val="000000"/>
          <w:sz w:val="16"/>
          <w:szCs w:val="16"/>
          <w:lang w:val="en-US" w:eastAsia="zh-CN"/>
        </w:rPr>
        <w:t>等乙方不可预测、不可控制的因素</w:t>
      </w:r>
      <w:r>
        <w:rPr>
          <w:rFonts w:hint="eastAsia" w:ascii="宋体" w:hAnsi="宋体" w:eastAsia="宋体" w:cs="宋体"/>
          <w:bCs/>
          <w:color w:val="000000"/>
          <w:sz w:val="16"/>
          <w:szCs w:val="16"/>
        </w:rPr>
        <w:t>导致的交易中断、延误等风险及损失，乙方不承担责任，但应在条件允许的情况下通知甲方，并采取一切必要的补救措施以减</w:t>
      </w:r>
      <w:r>
        <w:rPr>
          <w:rFonts w:hint="eastAsia" w:ascii="宋体" w:hAnsi="宋体" w:eastAsia="宋体" w:cs="宋体"/>
          <w:bCs/>
          <w:color w:val="000000"/>
          <w:sz w:val="16"/>
          <w:szCs w:val="16"/>
          <w:lang w:val="en-US" w:eastAsia="zh-CN"/>
        </w:rPr>
        <w:t>少</w:t>
      </w:r>
      <w:r>
        <w:rPr>
          <w:rFonts w:hint="eastAsia" w:ascii="宋体" w:hAnsi="宋体" w:eastAsia="宋体" w:cs="宋体"/>
          <w:bCs/>
          <w:color w:val="000000"/>
          <w:sz w:val="16"/>
          <w:szCs w:val="16"/>
        </w:rPr>
        <w:t>不可抗力造成的损失。</w:t>
      </w:r>
    </w:p>
    <w:p>
      <w:pPr>
        <w:numPr>
          <w:ilvl w:val="0"/>
          <w:numId w:val="8"/>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由于国家的有关法律、法规、规章、政策的改变、紧急措施的出台而导致的投资风险，乙方不承担责任。</w:t>
      </w:r>
    </w:p>
    <w:p>
      <w:pPr>
        <w:numPr>
          <w:ilvl w:val="0"/>
          <w:numId w:val="8"/>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lang w:val="en-US" w:eastAsia="zh-CN"/>
        </w:rPr>
        <w:t>因甲方的以下</w:t>
      </w:r>
      <w:r>
        <w:rPr>
          <w:rFonts w:hint="eastAsia" w:ascii="宋体" w:hAnsi="宋体" w:eastAsia="宋体" w:cs="宋体"/>
          <w:bCs/>
          <w:color w:val="000000"/>
          <w:sz w:val="16"/>
          <w:szCs w:val="16"/>
        </w:rPr>
        <w:t>情形导致甲方受到损失的，</w:t>
      </w:r>
      <w:r>
        <w:rPr>
          <w:rFonts w:hint="eastAsia" w:ascii="宋体" w:hAnsi="宋体" w:eastAsia="宋体" w:cs="宋体"/>
          <w:bCs/>
          <w:color w:val="000000"/>
          <w:sz w:val="16"/>
          <w:szCs w:val="16"/>
          <w:lang w:val="en-US" w:eastAsia="zh-CN"/>
        </w:rPr>
        <w:t>乙方</w:t>
      </w:r>
      <w:r>
        <w:rPr>
          <w:rFonts w:hint="eastAsia" w:ascii="宋体" w:hAnsi="宋体" w:eastAsia="宋体" w:cs="宋体"/>
          <w:bCs/>
          <w:color w:val="000000"/>
          <w:sz w:val="16"/>
          <w:szCs w:val="16"/>
        </w:rPr>
        <w:t>不承担责任</w:t>
      </w:r>
      <w:r>
        <w:rPr>
          <w:rFonts w:hint="eastAsia" w:ascii="宋体" w:hAnsi="宋体" w:eastAsia="宋体" w:cs="宋体"/>
          <w:bCs/>
          <w:color w:val="000000"/>
          <w:sz w:val="16"/>
          <w:szCs w:val="16"/>
          <w:lang w:eastAsia="zh-CN"/>
        </w:rPr>
        <w:t>。</w:t>
      </w:r>
      <w:r>
        <w:rPr>
          <w:rFonts w:hint="eastAsia" w:ascii="宋体" w:hAnsi="宋体" w:eastAsia="宋体" w:cs="宋体"/>
          <w:bCs/>
          <w:color w:val="000000"/>
          <w:sz w:val="16"/>
          <w:szCs w:val="16"/>
          <w:lang w:val="en-US" w:eastAsia="zh-CN"/>
        </w:rPr>
        <w:t>同时，</w:t>
      </w:r>
      <w:r>
        <w:rPr>
          <w:rFonts w:hint="eastAsia" w:ascii="宋体" w:hAnsi="宋体" w:eastAsia="宋体" w:cs="宋体"/>
          <w:bCs/>
          <w:color w:val="000000"/>
          <w:sz w:val="16"/>
          <w:szCs w:val="16"/>
        </w:rPr>
        <w:t>乙方有权根据实际情况全额终止理财交易，并停止向甲方支付理财本金及投资收益。由于提前终止交易而产生的一切损失将由甲方承担，乙方有权将此损失从甲方的账户或理财本金以及收益中扣除。</w:t>
      </w:r>
    </w:p>
    <w:p>
      <w:pPr>
        <w:numPr>
          <w:ilvl w:val="0"/>
          <w:numId w:val="0"/>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w:t>
      </w:r>
      <w:r>
        <w:rPr>
          <w:rFonts w:hint="eastAsia" w:ascii="宋体" w:hAnsi="宋体" w:eastAsia="宋体" w:cs="宋体"/>
          <w:bCs/>
          <w:color w:val="000000"/>
          <w:sz w:val="16"/>
          <w:szCs w:val="16"/>
          <w:lang w:val="en-US" w:eastAsia="zh-CN"/>
        </w:rPr>
        <w:t>1</w:t>
      </w:r>
      <w:r>
        <w:rPr>
          <w:rFonts w:hint="eastAsia" w:ascii="宋体" w:hAnsi="宋体" w:eastAsia="宋体" w:cs="宋体"/>
          <w:bCs/>
          <w:color w:val="000000"/>
          <w:sz w:val="16"/>
          <w:szCs w:val="16"/>
        </w:rPr>
        <w:t>)因甲方使用</w:t>
      </w:r>
      <w:r>
        <w:rPr>
          <w:rFonts w:hint="eastAsia" w:ascii="宋体" w:hAnsi="宋体" w:eastAsia="宋体" w:cs="宋体"/>
          <w:bCs/>
          <w:color w:val="000000"/>
          <w:sz w:val="16"/>
          <w:szCs w:val="16"/>
          <w:lang w:val="en-US" w:eastAsia="zh-CN"/>
        </w:rPr>
        <w:t>的</w:t>
      </w:r>
      <w:r>
        <w:rPr>
          <w:rFonts w:hint="eastAsia" w:ascii="宋体" w:hAnsi="宋体" w:eastAsia="宋体" w:cs="宋体"/>
          <w:bCs/>
          <w:color w:val="000000"/>
          <w:sz w:val="16"/>
          <w:szCs w:val="16"/>
        </w:rPr>
        <w:t>设备或通讯故障导致</w:t>
      </w:r>
      <w:r>
        <w:rPr>
          <w:rFonts w:hint="eastAsia" w:ascii="宋体" w:hAnsi="宋体" w:eastAsia="宋体" w:cs="宋体"/>
          <w:bCs/>
          <w:color w:val="000000"/>
          <w:sz w:val="16"/>
          <w:szCs w:val="16"/>
          <w:lang w:eastAsia="zh-CN"/>
        </w:rPr>
        <w:t>乙方</w:t>
      </w:r>
      <w:r>
        <w:rPr>
          <w:rFonts w:hint="eastAsia" w:ascii="宋体" w:hAnsi="宋体" w:eastAsia="宋体" w:cs="宋体"/>
          <w:bCs/>
          <w:color w:val="000000"/>
          <w:sz w:val="16"/>
          <w:szCs w:val="16"/>
        </w:rPr>
        <w:t>未能及时接受到相关操作指令；</w:t>
      </w:r>
    </w:p>
    <w:p>
      <w:pPr>
        <w:numPr>
          <w:ilvl w:val="0"/>
          <w:numId w:val="0"/>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w:t>
      </w:r>
      <w:r>
        <w:rPr>
          <w:rFonts w:hint="eastAsia" w:ascii="宋体" w:hAnsi="宋体" w:eastAsia="宋体" w:cs="宋体"/>
          <w:bCs/>
          <w:color w:val="000000"/>
          <w:sz w:val="16"/>
          <w:szCs w:val="16"/>
          <w:lang w:val="en-US" w:eastAsia="zh-CN"/>
        </w:rPr>
        <w:t>2</w:t>
      </w:r>
      <w:r>
        <w:rPr>
          <w:rFonts w:hint="eastAsia" w:ascii="宋体" w:hAnsi="宋体" w:eastAsia="宋体" w:cs="宋体"/>
          <w:bCs/>
          <w:color w:val="000000"/>
          <w:sz w:val="16"/>
          <w:szCs w:val="16"/>
        </w:rPr>
        <w:t>)因甲方疏忽或故意而导致的交易密码泄露或相关设备介质遗失；</w:t>
      </w:r>
    </w:p>
    <w:p>
      <w:pPr>
        <w:numPr>
          <w:ilvl w:val="0"/>
          <w:numId w:val="0"/>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w:t>
      </w:r>
      <w:r>
        <w:rPr>
          <w:rFonts w:hint="eastAsia" w:ascii="宋体" w:hAnsi="宋体" w:eastAsia="宋体" w:cs="宋体"/>
          <w:bCs/>
          <w:color w:val="000000"/>
          <w:sz w:val="16"/>
          <w:szCs w:val="16"/>
          <w:lang w:val="en-US" w:eastAsia="zh-CN"/>
        </w:rPr>
        <w:t>3</w:t>
      </w:r>
      <w:r>
        <w:rPr>
          <w:rFonts w:hint="eastAsia" w:ascii="宋体" w:hAnsi="宋体" w:eastAsia="宋体" w:cs="宋体"/>
          <w:bCs/>
          <w:color w:val="000000"/>
          <w:sz w:val="16"/>
          <w:szCs w:val="16"/>
        </w:rPr>
        <w:t>)因甲方未按照相关产品销售文件和交易规则、交易时间要求导致的交易申请拒绝或失效；</w:t>
      </w:r>
    </w:p>
    <w:p>
      <w:pPr>
        <w:numPr>
          <w:ilvl w:val="0"/>
          <w:numId w:val="0"/>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w:t>
      </w:r>
      <w:r>
        <w:rPr>
          <w:rFonts w:hint="eastAsia" w:ascii="宋体" w:hAnsi="宋体" w:eastAsia="宋体" w:cs="宋体"/>
          <w:bCs/>
          <w:color w:val="000000"/>
          <w:sz w:val="16"/>
          <w:szCs w:val="16"/>
          <w:lang w:val="en-US" w:eastAsia="zh-CN"/>
        </w:rPr>
        <w:t>4</w:t>
      </w:r>
      <w:r>
        <w:rPr>
          <w:rFonts w:hint="eastAsia" w:ascii="宋体" w:hAnsi="宋体" w:eastAsia="宋体" w:cs="宋体"/>
          <w:bCs/>
          <w:color w:val="000000"/>
          <w:sz w:val="16"/>
          <w:szCs w:val="16"/>
        </w:rPr>
        <w:t>)因甲方资金账户状态、余额不足或支付扣款错误等导致的交易申请失败或无效；</w:t>
      </w:r>
    </w:p>
    <w:p>
      <w:pPr>
        <w:numPr>
          <w:ilvl w:val="0"/>
          <w:numId w:val="0"/>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w:t>
      </w:r>
      <w:r>
        <w:rPr>
          <w:rFonts w:hint="eastAsia" w:ascii="宋体" w:hAnsi="宋体" w:eastAsia="宋体" w:cs="宋体"/>
          <w:bCs/>
          <w:color w:val="000000"/>
          <w:sz w:val="16"/>
          <w:szCs w:val="16"/>
          <w:lang w:val="en-US" w:eastAsia="zh-CN"/>
        </w:rPr>
        <w:t>5</w:t>
      </w:r>
      <w:r>
        <w:rPr>
          <w:rFonts w:hint="eastAsia" w:ascii="宋体" w:hAnsi="宋体" w:eastAsia="宋体" w:cs="宋体"/>
          <w:bCs/>
          <w:color w:val="000000"/>
          <w:sz w:val="16"/>
          <w:szCs w:val="16"/>
        </w:rPr>
        <w:t>)因甲方客户证件有效期过期或相关证件未能及时更新导致的客户交易限制；</w:t>
      </w:r>
    </w:p>
    <w:p>
      <w:pPr>
        <w:numPr>
          <w:ilvl w:val="0"/>
          <w:numId w:val="0"/>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w:t>
      </w:r>
      <w:r>
        <w:rPr>
          <w:rFonts w:hint="eastAsia" w:ascii="宋体" w:hAnsi="宋体" w:eastAsia="宋体" w:cs="宋体"/>
          <w:bCs/>
          <w:color w:val="000000"/>
          <w:sz w:val="16"/>
          <w:szCs w:val="16"/>
          <w:lang w:val="en-US" w:eastAsia="zh-CN"/>
        </w:rPr>
        <w:t>6</w:t>
      </w:r>
      <w:r>
        <w:rPr>
          <w:rFonts w:hint="eastAsia" w:ascii="宋体" w:hAnsi="宋体" w:eastAsia="宋体" w:cs="宋体"/>
          <w:bCs/>
          <w:color w:val="000000"/>
          <w:sz w:val="16"/>
          <w:szCs w:val="16"/>
        </w:rPr>
        <w:t>)因</w:t>
      </w:r>
      <w:r>
        <w:rPr>
          <w:rFonts w:hint="eastAsia" w:ascii="宋体" w:hAnsi="宋体" w:eastAsia="宋体" w:cs="宋体"/>
          <w:bCs/>
          <w:color w:val="000000"/>
          <w:sz w:val="16"/>
          <w:szCs w:val="16"/>
          <w:lang w:val="en-US" w:eastAsia="zh-CN"/>
        </w:rPr>
        <w:t>甲方</w:t>
      </w:r>
      <w:r>
        <w:rPr>
          <w:rFonts w:hint="eastAsia" w:ascii="宋体" w:hAnsi="宋体" w:eastAsia="宋体" w:cs="宋体"/>
          <w:bCs/>
          <w:color w:val="000000"/>
          <w:sz w:val="16"/>
          <w:szCs w:val="16"/>
        </w:rPr>
        <w:t>联系方式有误或拒接等失联情况造成交易回访确认失败而导致的交易失败；</w:t>
      </w:r>
    </w:p>
    <w:p>
      <w:pPr>
        <w:numPr>
          <w:ilvl w:val="0"/>
          <w:numId w:val="0"/>
        </w:numPr>
        <w:spacing w:line="300" w:lineRule="exact"/>
        <w:ind w:firstLine="320" w:firstLineChars="200"/>
        <w:rPr>
          <w:rFonts w:hint="eastAsia" w:ascii="宋体" w:hAnsi="宋体" w:eastAsia="宋体" w:cs="宋体"/>
          <w:bCs/>
          <w:color w:val="000000"/>
          <w:sz w:val="16"/>
          <w:szCs w:val="16"/>
          <w:lang w:val="en-US" w:eastAsia="zh-CN"/>
        </w:rPr>
      </w:pPr>
      <w:r>
        <w:rPr>
          <w:rFonts w:hint="eastAsia" w:ascii="宋体" w:hAnsi="宋体" w:eastAsia="宋体" w:cs="宋体"/>
          <w:bCs/>
          <w:color w:val="000000"/>
          <w:sz w:val="16"/>
          <w:szCs w:val="16"/>
          <w:lang w:val="en-US" w:eastAsia="zh-CN"/>
        </w:rPr>
        <w:t>(7)因</w:t>
      </w:r>
      <w:r>
        <w:rPr>
          <w:rFonts w:hint="eastAsia" w:ascii="宋体" w:hAnsi="宋体" w:eastAsia="宋体" w:cs="宋体"/>
          <w:bCs/>
          <w:color w:val="000000"/>
          <w:sz w:val="16"/>
          <w:szCs w:val="16"/>
        </w:rPr>
        <w:t>甲方的账户和理财本金及收益被</w:t>
      </w:r>
      <w:r>
        <w:rPr>
          <w:rFonts w:hint="eastAsia" w:ascii="宋体" w:hAnsi="宋体" w:eastAsia="宋体" w:cs="宋体"/>
          <w:bCs/>
          <w:color w:val="000000"/>
          <w:sz w:val="16"/>
          <w:szCs w:val="16"/>
          <w:lang w:val="en-US" w:eastAsia="zh-CN"/>
        </w:rPr>
        <w:t>有权</w:t>
      </w:r>
      <w:r>
        <w:rPr>
          <w:rFonts w:hint="eastAsia" w:ascii="宋体" w:hAnsi="宋体" w:eastAsia="宋体" w:cs="宋体"/>
          <w:bCs/>
          <w:color w:val="000000"/>
          <w:sz w:val="16"/>
          <w:szCs w:val="16"/>
        </w:rPr>
        <w:t>机关要求冻结、扣划</w:t>
      </w:r>
      <w:r>
        <w:rPr>
          <w:rFonts w:hint="eastAsia" w:ascii="宋体" w:hAnsi="宋体" w:eastAsia="宋体" w:cs="宋体"/>
          <w:bCs/>
          <w:color w:val="000000"/>
          <w:sz w:val="16"/>
          <w:szCs w:val="16"/>
          <w:lang w:eastAsia="zh-CN"/>
        </w:rPr>
        <w:t>。</w:t>
      </w:r>
    </w:p>
    <w:p>
      <w:pPr>
        <w:numPr>
          <w:ilvl w:val="0"/>
          <w:numId w:val="1"/>
        </w:numPr>
        <w:tabs>
          <w:tab w:val="left" w:pos="360"/>
          <w:tab w:val="clear" w:pos="720"/>
        </w:tabs>
        <w:spacing w:before="120" w:beforeLines="20" w:line="300" w:lineRule="exact"/>
        <w:rPr>
          <w:rFonts w:hint="eastAsia" w:ascii="宋体" w:hAnsi="宋体" w:eastAsia="宋体" w:cs="宋体"/>
          <w:b/>
          <w:bCs/>
          <w:color w:val="000000"/>
          <w:sz w:val="16"/>
          <w:szCs w:val="16"/>
        </w:rPr>
      </w:pPr>
      <w:r>
        <w:rPr>
          <w:rFonts w:hint="eastAsia" w:ascii="宋体" w:hAnsi="宋体" w:eastAsia="宋体" w:cs="宋体"/>
          <w:b/>
          <w:bCs/>
          <w:color w:val="000000"/>
          <w:sz w:val="16"/>
          <w:szCs w:val="16"/>
        </w:rPr>
        <w:t>追索条款</w:t>
      </w:r>
    </w:p>
    <w:p>
      <w:p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若因产品说明书约定的投资标的发生违约事件导致甲方的损失，甲方授权乙方代理其向相关责任人追偿其理财本金的损失，包括但不限于向相关责任人发出催收函，提起诉讼等方式，乙方代理期限为一年（诉讼或强制执行时间不计算在内）。乙方在行使代理权过程中产生的与诉讼有关的费用及律师代理费由甲方承担。</w:t>
      </w:r>
    </w:p>
    <w:p>
      <w:pPr>
        <w:numPr>
          <w:ilvl w:val="0"/>
          <w:numId w:val="1"/>
        </w:numPr>
        <w:tabs>
          <w:tab w:val="left" w:pos="360"/>
          <w:tab w:val="clear" w:pos="720"/>
        </w:tabs>
        <w:spacing w:before="120" w:beforeLines="20" w:line="300" w:lineRule="exact"/>
        <w:rPr>
          <w:rFonts w:hint="eastAsia" w:ascii="宋体" w:hAnsi="宋体" w:eastAsia="宋体" w:cs="宋体"/>
          <w:b/>
          <w:bCs/>
          <w:color w:val="000000"/>
          <w:sz w:val="16"/>
          <w:szCs w:val="16"/>
        </w:rPr>
      </w:pPr>
      <w:r>
        <w:rPr>
          <w:rFonts w:hint="eastAsia" w:ascii="宋体" w:hAnsi="宋体" w:eastAsia="宋体" w:cs="宋体"/>
          <w:b/>
          <w:bCs/>
          <w:color w:val="000000"/>
          <w:sz w:val="16"/>
          <w:szCs w:val="16"/>
        </w:rPr>
        <w:t>争议解决</w:t>
      </w:r>
    </w:p>
    <w:p>
      <w:pPr>
        <w:numPr>
          <w:ilvl w:val="0"/>
          <w:numId w:val="9"/>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因履行</w:t>
      </w:r>
      <w:r>
        <w:rPr>
          <w:rFonts w:hint="eastAsia" w:ascii="宋体" w:hAnsi="宋体" w:eastAsia="宋体" w:cs="宋体"/>
          <w:bCs/>
          <w:color w:val="000000"/>
          <w:sz w:val="16"/>
          <w:szCs w:val="16"/>
          <w:lang w:eastAsia="zh-CN"/>
        </w:rPr>
        <w:t>本协议书</w:t>
      </w:r>
      <w:r>
        <w:rPr>
          <w:rFonts w:hint="eastAsia" w:ascii="宋体" w:hAnsi="宋体" w:eastAsia="宋体" w:cs="宋体"/>
          <w:bCs/>
          <w:color w:val="000000"/>
          <w:sz w:val="16"/>
          <w:szCs w:val="16"/>
        </w:rPr>
        <w:t>而引致的一切争议，双方应首先本着诚实信用原则协商解决。不能协商解决的，提交乙方所在地人民法院诉讼解决。</w:t>
      </w:r>
    </w:p>
    <w:p>
      <w:pPr>
        <w:numPr>
          <w:ilvl w:val="0"/>
          <w:numId w:val="9"/>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在诉讼期间，</w:t>
      </w:r>
      <w:r>
        <w:rPr>
          <w:rFonts w:hint="eastAsia" w:ascii="宋体" w:hAnsi="宋体" w:eastAsia="宋体" w:cs="宋体"/>
          <w:bCs/>
          <w:color w:val="000000"/>
          <w:sz w:val="16"/>
          <w:szCs w:val="16"/>
          <w:lang w:eastAsia="zh-CN"/>
        </w:rPr>
        <w:t>本协议书</w:t>
      </w:r>
      <w:r>
        <w:rPr>
          <w:rFonts w:hint="eastAsia" w:ascii="宋体" w:hAnsi="宋体" w:eastAsia="宋体" w:cs="宋体"/>
          <w:bCs/>
          <w:color w:val="000000"/>
          <w:sz w:val="16"/>
          <w:szCs w:val="16"/>
        </w:rPr>
        <w:t>不涉及争议部分的条款仍须履行。</w:t>
      </w:r>
    </w:p>
    <w:p>
      <w:pPr>
        <w:numPr>
          <w:ilvl w:val="0"/>
          <w:numId w:val="1"/>
        </w:numPr>
        <w:tabs>
          <w:tab w:val="left" w:pos="360"/>
          <w:tab w:val="clear" w:pos="720"/>
        </w:tabs>
        <w:spacing w:before="120" w:beforeLines="20" w:line="300" w:lineRule="exact"/>
        <w:rPr>
          <w:rFonts w:hint="eastAsia" w:ascii="宋体" w:hAnsi="宋体" w:eastAsia="宋体" w:cs="宋体"/>
          <w:b/>
          <w:bCs/>
          <w:color w:val="000000"/>
          <w:sz w:val="16"/>
          <w:szCs w:val="16"/>
        </w:rPr>
      </w:pPr>
      <w:r>
        <w:rPr>
          <w:rFonts w:hint="eastAsia" w:ascii="宋体" w:hAnsi="宋体" w:eastAsia="宋体" w:cs="宋体"/>
          <w:b/>
          <w:bCs/>
          <w:color w:val="000000"/>
          <w:sz w:val="16"/>
          <w:szCs w:val="16"/>
        </w:rPr>
        <w:t>协议的生效及终止</w:t>
      </w:r>
    </w:p>
    <w:p>
      <w:pPr>
        <w:numPr>
          <w:ilvl w:val="0"/>
          <w:numId w:val="10"/>
        </w:numPr>
        <w:spacing w:line="300" w:lineRule="exact"/>
        <w:ind w:firstLine="320"/>
        <w:rPr>
          <w:rFonts w:hint="eastAsia" w:ascii="宋体" w:hAnsi="宋体" w:eastAsia="宋体" w:cs="宋体"/>
          <w:bCs/>
          <w:color w:val="000000"/>
          <w:sz w:val="16"/>
          <w:szCs w:val="16"/>
        </w:rPr>
      </w:pPr>
      <w:r>
        <w:rPr>
          <w:rFonts w:hint="eastAsia" w:ascii="宋体" w:hAnsi="宋体" w:eastAsia="宋体" w:cs="宋体"/>
          <w:bCs/>
          <w:color w:val="000000"/>
          <w:sz w:val="16"/>
          <w:szCs w:val="16"/>
        </w:rPr>
        <w:t>甲方在乙方购买理财产品之前应签署本协议</w:t>
      </w:r>
      <w:r>
        <w:rPr>
          <w:rFonts w:hint="eastAsia" w:ascii="宋体" w:hAnsi="宋体" w:eastAsia="宋体" w:cs="宋体"/>
          <w:bCs/>
          <w:color w:val="000000"/>
          <w:sz w:val="16"/>
          <w:szCs w:val="16"/>
          <w:lang w:val="en-US" w:eastAsia="zh-CN"/>
        </w:rPr>
        <w:t>书</w:t>
      </w:r>
      <w:r>
        <w:rPr>
          <w:rFonts w:hint="eastAsia" w:ascii="宋体" w:hAnsi="宋体" w:eastAsia="宋体" w:cs="宋体"/>
          <w:bCs/>
          <w:color w:val="000000"/>
          <w:sz w:val="16"/>
          <w:szCs w:val="16"/>
        </w:rPr>
        <w:t>，本协议</w:t>
      </w:r>
      <w:r>
        <w:rPr>
          <w:rFonts w:hint="eastAsia" w:ascii="宋体" w:hAnsi="宋体" w:eastAsia="宋体" w:cs="宋体"/>
          <w:bCs/>
          <w:color w:val="000000"/>
          <w:sz w:val="16"/>
          <w:szCs w:val="16"/>
          <w:lang w:val="en-US" w:eastAsia="zh-CN"/>
        </w:rPr>
        <w:t>书</w:t>
      </w:r>
      <w:r>
        <w:rPr>
          <w:rFonts w:hint="eastAsia" w:ascii="宋体" w:hAnsi="宋体" w:eastAsia="宋体" w:cs="宋体"/>
          <w:bCs/>
          <w:color w:val="000000"/>
          <w:sz w:val="16"/>
          <w:szCs w:val="16"/>
        </w:rPr>
        <w:t>生效后，甲方在乙方购买</w:t>
      </w:r>
      <w:r>
        <w:rPr>
          <w:rFonts w:hint="eastAsia" w:ascii="宋体" w:hAnsi="宋体" w:eastAsia="宋体" w:cs="宋体"/>
          <w:bCs/>
          <w:color w:val="000000"/>
          <w:sz w:val="16"/>
          <w:szCs w:val="16"/>
          <w:lang w:val="en-US" w:eastAsia="zh-CN"/>
        </w:rPr>
        <w:t>东莞</w:t>
      </w:r>
      <w:r>
        <w:rPr>
          <w:rFonts w:hint="eastAsia" w:ascii="宋体" w:hAnsi="宋体" w:eastAsia="宋体" w:cs="宋体"/>
          <w:bCs/>
          <w:color w:val="000000"/>
          <w:sz w:val="16"/>
          <w:szCs w:val="16"/>
        </w:rPr>
        <w:t>银行自营理财产品（即</w:t>
      </w:r>
      <w:r>
        <w:rPr>
          <w:rFonts w:hint="eastAsia" w:ascii="宋体" w:hAnsi="宋体" w:eastAsia="宋体" w:cs="宋体"/>
          <w:bCs/>
          <w:color w:val="000000"/>
          <w:sz w:val="16"/>
          <w:szCs w:val="16"/>
          <w:lang w:val="en-US" w:eastAsia="zh-CN"/>
        </w:rPr>
        <w:t>东莞</w:t>
      </w:r>
      <w:r>
        <w:rPr>
          <w:rFonts w:hint="eastAsia" w:ascii="宋体" w:hAnsi="宋体" w:eastAsia="宋体" w:cs="宋体"/>
          <w:bCs/>
          <w:color w:val="000000"/>
          <w:sz w:val="16"/>
          <w:szCs w:val="16"/>
        </w:rPr>
        <w:t>银行作为产品管理人的理财产品）均适用本协议</w:t>
      </w:r>
      <w:r>
        <w:rPr>
          <w:rFonts w:hint="eastAsia" w:ascii="宋体" w:hAnsi="宋体" w:eastAsia="宋体" w:cs="宋体"/>
          <w:bCs/>
          <w:color w:val="000000"/>
          <w:sz w:val="16"/>
          <w:szCs w:val="16"/>
          <w:lang w:val="en-US" w:eastAsia="zh-CN"/>
        </w:rPr>
        <w:t>书</w:t>
      </w:r>
      <w:r>
        <w:rPr>
          <w:rFonts w:hint="eastAsia" w:ascii="宋体" w:hAnsi="宋体" w:eastAsia="宋体" w:cs="宋体"/>
          <w:bCs/>
          <w:color w:val="000000"/>
          <w:sz w:val="16"/>
          <w:szCs w:val="16"/>
        </w:rPr>
        <w:t>。</w:t>
      </w:r>
    </w:p>
    <w:p>
      <w:pPr>
        <w:numPr>
          <w:ilvl w:val="0"/>
          <w:numId w:val="10"/>
        </w:numPr>
        <w:spacing w:line="300" w:lineRule="exact"/>
        <w:ind w:firstLine="320"/>
        <w:rPr>
          <w:rFonts w:hint="eastAsia" w:ascii="宋体" w:hAnsi="宋体" w:eastAsia="宋体" w:cs="宋体"/>
          <w:bCs/>
          <w:color w:val="000000"/>
          <w:sz w:val="16"/>
          <w:szCs w:val="16"/>
        </w:rPr>
      </w:pPr>
      <w:r>
        <w:rPr>
          <w:rFonts w:hint="eastAsia" w:ascii="宋体" w:hAnsi="宋体" w:eastAsia="宋体" w:cs="宋体"/>
          <w:bCs/>
          <w:color w:val="000000"/>
          <w:sz w:val="16"/>
          <w:szCs w:val="16"/>
        </w:rPr>
        <w:t>甲方如通过线下签署</w:t>
      </w:r>
      <w:r>
        <w:rPr>
          <w:rFonts w:hint="eastAsia" w:ascii="宋体" w:hAnsi="宋体" w:eastAsia="宋体" w:cs="宋体"/>
          <w:bCs/>
          <w:color w:val="000000"/>
          <w:sz w:val="16"/>
          <w:szCs w:val="16"/>
          <w:lang w:eastAsia="zh-CN"/>
        </w:rPr>
        <w:t>本协议书</w:t>
      </w:r>
      <w:r>
        <w:rPr>
          <w:rFonts w:hint="eastAsia" w:ascii="宋体" w:hAnsi="宋体" w:eastAsia="宋体" w:cs="宋体"/>
          <w:bCs/>
          <w:color w:val="000000"/>
          <w:sz w:val="16"/>
          <w:szCs w:val="16"/>
        </w:rPr>
        <w:t>，</w:t>
      </w:r>
      <w:r>
        <w:rPr>
          <w:rFonts w:hint="eastAsia" w:ascii="宋体" w:hAnsi="宋体" w:eastAsia="宋体" w:cs="宋体"/>
          <w:bCs/>
          <w:color w:val="000000"/>
          <w:sz w:val="16"/>
          <w:szCs w:val="16"/>
          <w:lang w:eastAsia="zh-CN"/>
        </w:rPr>
        <w:t>本协议书</w:t>
      </w:r>
      <w:r>
        <w:rPr>
          <w:rFonts w:hint="eastAsia" w:ascii="宋体" w:hAnsi="宋体" w:eastAsia="宋体" w:cs="宋体"/>
          <w:bCs/>
          <w:color w:val="000000"/>
          <w:sz w:val="16"/>
          <w:szCs w:val="16"/>
        </w:rPr>
        <w:t>经甲方在</w:t>
      </w:r>
      <w:r>
        <w:rPr>
          <w:rFonts w:hint="eastAsia" w:ascii="宋体" w:hAnsi="宋体" w:eastAsia="宋体" w:cs="宋体"/>
          <w:bCs/>
          <w:color w:val="000000"/>
          <w:sz w:val="16"/>
          <w:szCs w:val="16"/>
          <w:lang w:eastAsia="zh-CN"/>
        </w:rPr>
        <w:t>本协议</w:t>
      </w:r>
      <w:r>
        <w:rPr>
          <w:rFonts w:hint="eastAsia" w:ascii="宋体" w:hAnsi="宋体" w:eastAsia="宋体" w:cs="宋体"/>
          <w:bCs/>
          <w:color w:val="000000"/>
          <w:sz w:val="16"/>
          <w:szCs w:val="16"/>
        </w:rPr>
        <w:t>书签字（或盖章）、乙方盖章，且在乙方按签约金额成功从甲方在</w:t>
      </w:r>
      <w:r>
        <w:rPr>
          <w:rFonts w:hint="eastAsia" w:ascii="宋体" w:hAnsi="宋体" w:eastAsia="宋体" w:cs="宋体"/>
          <w:bCs/>
          <w:color w:val="000000"/>
          <w:sz w:val="16"/>
          <w:szCs w:val="16"/>
          <w:lang w:eastAsia="zh-CN"/>
        </w:rPr>
        <w:t>本协议书</w:t>
      </w:r>
      <w:r>
        <w:rPr>
          <w:rFonts w:hint="eastAsia" w:ascii="宋体" w:hAnsi="宋体" w:eastAsia="宋体" w:cs="宋体"/>
          <w:bCs/>
          <w:color w:val="000000"/>
          <w:sz w:val="16"/>
          <w:szCs w:val="16"/>
        </w:rPr>
        <w:t>《银行打印栏》记载的卡或账户扣划相应的理财资金并经产品管理人登记系统确认份额后生效。甲方如通过乙方电子渠道签署</w:t>
      </w:r>
      <w:r>
        <w:rPr>
          <w:rFonts w:hint="eastAsia" w:ascii="宋体" w:hAnsi="宋体" w:eastAsia="宋体" w:cs="宋体"/>
          <w:bCs/>
          <w:color w:val="000000"/>
          <w:sz w:val="16"/>
          <w:szCs w:val="16"/>
          <w:lang w:eastAsia="zh-CN"/>
        </w:rPr>
        <w:t>本协议书</w:t>
      </w:r>
      <w:r>
        <w:rPr>
          <w:rFonts w:hint="eastAsia" w:ascii="宋体" w:hAnsi="宋体" w:eastAsia="宋体" w:cs="宋体"/>
          <w:bCs/>
          <w:color w:val="000000"/>
          <w:sz w:val="16"/>
          <w:szCs w:val="16"/>
        </w:rPr>
        <w:t>的，</w:t>
      </w:r>
      <w:r>
        <w:rPr>
          <w:rFonts w:hint="eastAsia" w:ascii="宋体" w:hAnsi="宋体" w:eastAsia="宋体" w:cs="宋体"/>
          <w:bCs/>
          <w:color w:val="000000"/>
          <w:sz w:val="16"/>
          <w:szCs w:val="16"/>
          <w:lang w:eastAsia="zh-CN"/>
        </w:rPr>
        <w:t>本协议书</w:t>
      </w:r>
      <w:r>
        <w:rPr>
          <w:rFonts w:hint="eastAsia" w:ascii="宋体" w:hAnsi="宋体" w:eastAsia="宋体" w:cs="宋体"/>
          <w:bCs/>
          <w:color w:val="000000"/>
          <w:sz w:val="16"/>
          <w:szCs w:val="16"/>
        </w:rPr>
        <w:t>自甲方勾选“本人已认真阅读并同意《东莞银行理财产品协议书》及相关协议，愿意承担投资风险”，相关电子渠道页面显示投资者已成功购买并确认份额后生效。</w:t>
      </w:r>
    </w:p>
    <w:p>
      <w:pPr>
        <w:numPr>
          <w:ilvl w:val="0"/>
          <w:numId w:val="10"/>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lang w:eastAsia="zh-CN"/>
        </w:rPr>
        <w:t>本协议书</w:t>
      </w:r>
      <w:r>
        <w:rPr>
          <w:rFonts w:hint="eastAsia" w:ascii="宋体" w:hAnsi="宋体" w:eastAsia="宋体" w:cs="宋体"/>
          <w:bCs/>
          <w:color w:val="000000"/>
          <w:sz w:val="16"/>
          <w:szCs w:val="16"/>
        </w:rPr>
        <w:t>的终止日为乙方按照理财产品说明书约定将本金及收益划转至甲方在</w:t>
      </w:r>
      <w:r>
        <w:rPr>
          <w:rFonts w:hint="eastAsia" w:ascii="宋体" w:hAnsi="宋体" w:eastAsia="宋体" w:cs="宋体"/>
          <w:bCs/>
          <w:color w:val="000000"/>
          <w:sz w:val="16"/>
          <w:szCs w:val="16"/>
          <w:lang w:eastAsia="zh-CN"/>
        </w:rPr>
        <w:t>本协议书</w:t>
      </w:r>
      <w:r>
        <w:rPr>
          <w:rFonts w:hint="eastAsia" w:ascii="宋体" w:hAnsi="宋体" w:eastAsia="宋体" w:cs="宋体"/>
          <w:bCs/>
          <w:color w:val="000000"/>
          <w:sz w:val="16"/>
          <w:szCs w:val="16"/>
        </w:rPr>
        <w:t>中指定的账户之日。</w:t>
      </w:r>
    </w:p>
    <w:p>
      <w:pPr>
        <w:numPr>
          <w:ilvl w:val="0"/>
          <w:numId w:val="10"/>
        </w:numPr>
        <w:spacing w:line="300" w:lineRule="exact"/>
        <w:ind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甲方可以通过乙方营业网点或网上银行等渠道（具体以产品说明书记载为准）办理理财产品的部分或全部交易，则甲乙双方有关理财产品的销售文件以最近一个交易日更新后的内容为准。</w:t>
      </w:r>
    </w:p>
    <w:p>
      <w:pPr>
        <w:numPr>
          <w:ilvl w:val="0"/>
          <w:numId w:val="10"/>
        </w:numPr>
        <w:spacing w:line="300" w:lineRule="exact"/>
        <w:ind w:left="0" w:leftChars="0"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rPr>
        <w:t>本协议</w:t>
      </w:r>
      <w:r>
        <w:rPr>
          <w:rFonts w:hint="eastAsia" w:ascii="宋体" w:hAnsi="宋体" w:eastAsia="宋体" w:cs="宋体"/>
          <w:bCs/>
          <w:color w:val="000000"/>
          <w:sz w:val="16"/>
          <w:szCs w:val="16"/>
          <w:lang w:val="en-US" w:eastAsia="zh-CN"/>
        </w:rPr>
        <w:t>书</w:t>
      </w:r>
      <w:r>
        <w:rPr>
          <w:rFonts w:hint="eastAsia" w:ascii="宋体" w:hAnsi="宋体" w:eastAsia="宋体" w:cs="宋体"/>
          <w:bCs/>
          <w:color w:val="000000"/>
          <w:sz w:val="16"/>
          <w:szCs w:val="16"/>
        </w:rPr>
        <w:t>与甲方所购买理财产品的《产品说明书》《风险揭示书》《投资者权益须知》和签约/购买回单等交易单据共同构成一份完整的理财产品销售文件。甲方在乙方购买多</w:t>
      </w:r>
      <w:r>
        <w:rPr>
          <w:rFonts w:hint="eastAsia" w:ascii="宋体" w:hAnsi="宋体" w:eastAsia="宋体" w:cs="宋体"/>
          <w:bCs/>
          <w:color w:val="000000"/>
          <w:sz w:val="16"/>
          <w:szCs w:val="16"/>
          <w:lang w:val="en-US" w:eastAsia="zh-CN"/>
        </w:rPr>
        <w:t>只</w:t>
      </w:r>
      <w:r>
        <w:rPr>
          <w:rFonts w:hint="eastAsia" w:ascii="宋体" w:hAnsi="宋体" w:eastAsia="宋体" w:cs="宋体"/>
          <w:bCs/>
          <w:color w:val="000000"/>
          <w:sz w:val="16"/>
          <w:szCs w:val="16"/>
        </w:rPr>
        <w:t>理财产品时，不同产品的产品说明书组成的产品销售文件效力互相独立。</w:t>
      </w:r>
      <w:r>
        <w:rPr>
          <w:rFonts w:hint="eastAsia" w:ascii="宋体" w:hAnsi="宋体" w:eastAsia="宋体" w:cs="宋体"/>
          <w:bCs/>
          <w:color w:val="000000"/>
          <w:sz w:val="16"/>
          <w:szCs w:val="16"/>
          <w:lang w:eastAsia="zh-CN"/>
        </w:rPr>
        <w:t>本协议</w:t>
      </w:r>
      <w:r>
        <w:rPr>
          <w:rFonts w:hint="eastAsia" w:ascii="宋体" w:hAnsi="宋体" w:eastAsia="宋体" w:cs="宋体"/>
          <w:bCs/>
          <w:color w:val="000000"/>
          <w:sz w:val="16"/>
          <w:szCs w:val="16"/>
        </w:rPr>
        <w:t>书未尽事宜，以产品说明书的内容为准。本协议</w:t>
      </w:r>
      <w:r>
        <w:rPr>
          <w:rFonts w:hint="eastAsia" w:ascii="宋体" w:hAnsi="宋体" w:eastAsia="宋体" w:cs="宋体"/>
          <w:bCs/>
          <w:color w:val="000000"/>
          <w:sz w:val="16"/>
          <w:szCs w:val="16"/>
          <w:lang w:val="en-US" w:eastAsia="zh-CN"/>
        </w:rPr>
        <w:t>书</w:t>
      </w:r>
      <w:r>
        <w:rPr>
          <w:rFonts w:hint="eastAsia" w:ascii="宋体" w:hAnsi="宋体" w:eastAsia="宋体" w:cs="宋体"/>
          <w:bCs/>
          <w:color w:val="000000"/>
          <w:sz w:val="16"/>
          <w:szCs w:val="16"/>
        </w:rPr>
        <w:t>与产品说明书不一致的，以产品说明书为准。</w:t>
      </w:r>
    </w:p>
    <w:p>
      <w:pPr>
        <w:numPr>
          <w:ilvl w:val="0"/>
          <w:numId w:val="10"/>
        </w:numPr>
        <w:spacing w:line="300" w:lineRule="exact"/>
        <w:ind w:left="0" w:leftChars="0" w:firstLine="321" w:firstLineChars="200"/>
        <w:rPr>
          <w:rFonts w:hint="eastAsia" w:ascii="宋体" w:hAnsi="宋体" w:eastAsia="宋体" w:cs="宋体"/>
          <w:b/>
          <w:bCs w:val="0"/>
          <w:color w:val="000000"/>
          <w:sz w:val="16"/>
          <w:szCs w:val="16"/>
        </w:rPr>
      </w:pPr>
      <w:r>
        <w:rPr>
          <w:rFonts w:hint="eastAsia" w:ascii="宋体" w:hAnsi="宋体" w:eastAsia="宋体" w:cs="宋体"/>
          <w:b/>
          <w:bCs w:val="0"/>
          <w:color w:val="000000"/>
          <w:sz w:val="16"/>
          <w:szCs w:val="16"/>
        </w:rPr>
        <w:t>如果您对本协议或服务有任何疑问、投诉或建议，可通过本行银行营业网点、官方网站（www.dongguanbank.cn）、电子银行在线客服或拨打本行客户服务电话956033咨询/投诉。</w:t>
      </w:r>
    </w:p>
    <w:p>
      <w:pPr>
        <w:numPr>
          <w:ilvl w:val="0"/>
          <w:numId w:val="10"/>
        </w:numPr>
        <w:spacing w:line="300" w:lineRule="exact"/>
        <w:ind w:left="0" w:leftChars="0" w:firstLine="320" w:firstLineChars="200"/>
        <w:rPr>
          <w:rFonts w:hint="eastAsia" w:ascii="宋体" w:hAnsi="宋体" w:eastAsia="宋体" w:cs="宋体"/>
          <w:bCs/>
          <w:color w:val="000000"/>
          <w:sz w:val="16"/>
          <w:szCs w:val="16"/>
        </w:rPr>
      </w:pPr>
      <w:r>
        <w:rPr>
          <w:rFonts w:hint="eastAsia" w:ascii="宋体" w:hAnsi="宋体" w:eastAsia="宋体" w:cs="宋体"/>
          <w:bCs/>
          <w:color w:val="000000"/>
          <w:sz w:val="16"/>
          <w:szCs w:val="16"/>
          <w:lang w:eastAsia="zh-CN"/>
        </w:rPr>
        <w:t>本协议书</w:t>
      </w:r>
      <w:r>
        <w:rPr>
          <w:rFonts w:hint="eastAsia" w:ascii="宋体" w:hAnsi="宋体" w:eastAsia="宋体" w:cs="宋体"/>
          <w:bCs/>
          <w:color w:val="000000"/>
          <w:sz w:val="16"/>
          <w:szCs w:val="16"/>
        </w:rPr>
        <w:t>壹式两份，甲乙双方各执壹份，每份具有同等法律效力。</w:t>
      </w:r>
    </w:p>
    <w:p>
      <w:pPr>
        <w:widowControl w:val="0"/>
        <w:numPr>
          <w:ilvl w:val="0"/>
          <w:numId w:val="0"/>
        </w:numPr>
        <w:spacing w:line="300" w:lineRule="exact"/>
        <w:jc w:val="both"/>
        <w:rPr>
          <w:rFonts w:hint="eastAsia" w:ascii="宋体" w:hAnsi="宋体" w:eastAsia="宋体" w:cs="宋体"/>
          <w:bCs/>
          <w:color w:val="000000"/>
          <w:sz w:val="16"/>
          <w:szCs w:val="16"/>
        </w:rPr>
      </w:pPr>
    </w:p>
    <w:p>
      <w:pPr>
        <w:widowControl w:val="0"/>
        <w:numPr>
          <w:ilvl w:val="0"/>
          <w:numId w:val="0"/>
        </w:numPr>
        <w:spacing w:line="300" w:lineRule="exact"/>
        <w:jc w:val="both"/>
        <w:rPr>
          <w:rFonts w:hint="eastAsia" w:ascii="宋体" w:hAnsi="宋体" w:eastAsia="宋体" w:cs="宋体"/>
          <w:bCs/>
          <w:color w:val="000000"/>
          <w:sz w:val="16"/>
          <w:szCs w:val="16"/>
        </w:rPr>
      </w:pPr>
    </w:p>
    <w:p>
      <w:pPr>
        <w:widowControl w:val="0"/>
        <w:numPr>
          <w:ilvl w:val="0"/>
          <w:numId w:val="0"/>
        </w:numPr>
        <w:spacing w:line="300" w:lineRule="exact"/>
        <w:jc w:val="both"/>
        <w:rPr>
          <w:rFonts w:hint="eastAsia" w:ascii="宋体" w:hAnsi="宋体" w:eastAsia="宋体" w:cs="宋体"/>
          <w:bCs/>
          <w:color w:val="000000"/>
          <w:sz w:val="16"/>
          <w:szCs w:val="16"/>
        </w:rPr>
      </w:pPr>
    </w:p>
    <w:p>
      <w:pPr>
        <w:widowControl w:val="0"/>
        <w:numPr>
          <w:ilvl w:val="0"/>
          <w:numId w:val="0"/>
        </w:numPr>
        <w:spacing w:line="300" w:lineRule="exact"/>
        <w:jc w:val="both"/>
        <w:rPr>
          <w:rFonts w:hint="eastAsia" w:ascii="宋体" w:hAnsi="宋体" w:eastAsia="宋体" w:cs="宋体"/>
          <w:bCs/>
          <w:color w:val="000000"/>
          <w:sz w:val="16"/>
          <w:szCs w:val="16"/>
        </w:rPr>
      </w:pPr>
    </w:p>
    <w:p>
      <w:pPr>
        <w:widowControl w:val="0"/>
        <w:numPr>
          <w:ilvl w:val="0"/>
          <w:numId w:val="0"/>
        </w:numPr>
        <w:spacing w:line="300" w:lineRule="exact"/>
        <w:jc w:val="both"/>
        <w:rPr>
          <w:rFonts w:hint="eastAsia" w:ascii="宋体" w:hAnsi="宋体" w:eastAsia="宋体" w:cs="宋体"/>
          <w:bCs/>
          <w:color w:val="000000"/>
          <w:sz w:val="16"/>
          <w:szCs w:val="16"/>
        </w:rPr>
      </w:pPr>
    </w:p>
    <w:p>
      <w:pPr>
        <w:widowControl w:val="0"/>
        <w:numPr>
          <w:ilvl w:val="0"/>
          <w:numId w:val="0"/>
        </w:numPr>
        <w:spacing w:line="300" w:lineRule="exact"/>
        <w:jc w:val="both"/>
        <w:rPr>
          <w:rFonts w:hint="eastAsia" w:ascii="宋体" w:hAnsi="宋体" w:eastAsia="宋体" w:cs="宋体"/>
          <w:bCs/>
          <w:color w:val="000000"/>
          <w:sz w:val="16"/>
          <w:szCs w:val="16"/>
        </w:rPr>
      </w:pPr>
    </w:p>
    <w:p>
      <w:pPr>
        <w:widowControl/>
        <w:numPr>
          <w:ilvl w:val="0"/>
          <w:numId w:val="0"/>
        </w:numPr>
        <w:spacing w:before="240" w:line="240" w:lineRule="auto"/>
        <w:ind w:firstLine="0" w:firstLineChars="0"/>
        <w:jc w:val="left"/>
        <w:rPr>
          <w:rFonts w:hint="eastAsia" w:ascii="宋体" w:hAnsi="宋体" w:eastAsia="宋体" w:cs="宋体"/>
          <w:bCs/>
          <w:color w:val="000000"/>
          <w:sz w:val="16"/>
          <w:szCs w:val="16"/>
        </w:rPr>
      </w:pPr>
      <w:r>
        <w:rPr>
          <w:rFonts w:hint="eastAsia" w:ascii="黑体" w:hAnsi="黑体" w:eastAsia="黑体" w:cs="黑体"/>
          <w:color w:val="000000"/>
          <w:spacing w:val="16"/>
          <w:sz w:val="21"/>
          <w:szCs w:val="21"/>
        </w:rPr>
        <w:t>客户签名/盖章：</w:t>
      </w:r>
      <w:r>
        <w:rPr>
          <w:rFonts w:hint="eastAsia" w:ascii="黑体" w:hAnsi="黑体" w:eastAsia="黑体" w:cs="黑体"/>
          <w:color w:val="000000"/>
          <w:spacing w:val="16"/>
          <w:sz w:val="21"/>
          <w:szCs w:val="21"/>
          <w:lang w:val="en-US" w:eastAsia="zh-CN"/>
        </w:rPr>
        <w:t xml:space="preserve">     </w:t>
      </w:r>
      <w:r>
        <w:rPr>
          <w:rFonts w:hint="eastAsia" w:ascii="黑体" w:hAnsi="黑体" w:eastAsia="黑体" w:cs="黑体"/>
          <w:color w:val="000000"/>
          <w:spacing w:val="16"/>
          <w:sz w:val="21"/>
          <w:szCs w:val="21"/>
          <w:u w:val="single"/>
        </w:rPr>
        <w:t xml:space="preserve">         </w:t>
      </w:r>
    </w:p>
    <w:sectPr>
      <w:type w:val="continuous"/>
      <w:pgSz w:w="11906" w:h="16838"/>
      <w:pgMar w:top="454" w:right="737" w:bottom="454" w:left="737" w:header="851" w:footer="992" w:gutter="0"/>
      <w:cols w:space="425" w:num="2"/>
      <w:titlePg/>
      <w:docGrid w:type="lines" w:linePitch="601" w:charSpace="-22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roma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3</w:t>
    </w:r>
    <w: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6" w:space="0"/>
      </w:pBdr>
      <w:jc w:val="right"/>
      <w:rPr>
        <w:sz w:val="16"/>
      </w:rPr>
    </w:pPr>
    <w:r>
      <w:rPr>
        <w:rFonts w:hint="eastAsia" w:ascii="宋体" w:hAnsi="宋体"/>
        <w:b/>
        <w:sz w:val="22"/>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6" w:space="0"/>
      </w:pBdr>
      <w:jc w:val="left"/>
      <w:rPr>
        <w:rFonts w:hint="eastAsia" w:ascii="微软雅黑" w:hAnsi="微软雅黑" w:eastAsia="微软雅黑" w:cs="微软雅黑"/>
        <w:sz w:val="11"/>
        <w:szCs w:val="13"/>
      </w:rPr>
    </w:pPr>
    <w:r>
      <w:rPr>
        <w:rFonts w:hint="eastAsia" w:ascii="微软雅黑" w:hAnsi="微软雅黑" w:eastAsia="微软雅黑" w:cs="微软雅黑"/>
        <w:b/>
        <w:szCs w:val="20"/>
      </w:rPr>
      <w:t>理财非存款、产品有风险，投资须谨慎</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D54FD9"/>
    <w:multiLevelType w:val="singleLevel"/>
    <w:tmpl w:val="E7D54FD9"/>
    <w:lvl w:ilvl="0" w:tentative="0">
      <w:start w:val="1"/>
      <w:numFmt w:val="decimal"/>
      <w:suff w:val="nothing"/>
      <w:lvlText w:val="%1、"/>
      <w:lvlJc w:val="left"/>
    </w:lvl>
  </w:abstractNum>
  <w:abstractNum w:abstractNumId="1">
    <w:nsid w:val="4E24D21A"/>
    <w:multiLevelType w:val="singleLevel"/>
    <w:tmpl w:val="4E24D21A"/>
    <w:lvl w:ilvl="0" w:tentative="0">
      <w:start w:val="1"/>
      <w:numFmt w:val="decimal"/>
      <w:suff w:val="nothing"/>
      <w:lvlText w:val="%1、"/>
      <w:lvlJc w:val="left"/>
    </w:lvl>
  </w:abstractNum>
  <w:abstractNum w:abstractNumId="2">
    <w:nsid w:val="5BCFE3C3"/>
    <w:multiLevelType w:val="singleLevel"/>
    <w:tmpl w:val="5BCFE3C3"/>
    <w:lvl w:ilvl="0" w:tentative="0">
      <w:start w:val="1"/>
      <w:numFmt w:val="decimal"/>
      <w:suff w:val="nothing"/>
      <w:lvlText w:val="%1、"/>
      <w:lvlJc w:val="left"/>
    </w:lvl>
  </w:abstractNum>
  <w:abstractNum w:abstractNumId="3">
    <w:nsid w:val="5D06FB4E"/>
    <w:multiLevelType w:val="singleLevel"/>
    <w:tmpl w:val="5D06FB4E"/>
    <w:lvl w:ilvl="0" w:tentative="0">
      <w:start w:val="1"/>
      <w:numFmt w:val="decimal"/>
      <w:suff w:val="nothing"/>
      <w:lvlText w:val="%1、"/>
      <w:lvlJc w:val="left"/>
    </w:lvl>
  </w:abstractNum>
  <w:abstractNum w:abstractNumId="4">
    <w:nsid w:val="5D06FB66"/>
    <w:multiLevelType w:val="singleLevel"/>
    <w:tmpl w:val="5D06FB66"/>
    <w:lvl w:ilvl="0" w:tentative="0">
      <w:start w:val="1"/>
      <w:numFmt w:val="decimal"/>
      <w:suff w:val="nothing"/>
      <w:lvlText w:val="%1、"/>
      <w:lvlJc w:val="left"/>
    </w:lvl>
  </w:abstractNum>
  <w:abstractNum w:abstractNumId="5">
    <w:nsid w:val="5D06FB81"/>
    <w:multiLevelType w:val="singleLevel"/>
    <w:tmpl w:val="5D06FB81"/>
    <w:lvl w:ilvl="0" w:tentative="0">
      <w:start w:val="1"/>
      <w:numFmt w:val="decimal"/>
      <w:suff w:val="nothing"/>
      <w:lvlText w:val="%1、"/>
      <w:lvlJc w:val="left"/>
    </w:lvl>
  </w:abstractNum>
  <w:abstractNum w:abstractNumId="6">
    <w:nsid w:val="5D06FB90"/>
    <w:multiLevelType w:val="singleLevel"/>
    <w:tmpl w:val="5D06FB90"/>
    <w:lvl w:ilvl="0" w:tentative="0">
      <w:start w:val="1"/>
      <w:numFmt w:val="decimal"/>
      <w:suff w:val="nothing"/>
      <w:lvlText w:val="%1、"/>
      <w:lvlJc w:val="left"/>
    </w:lvl>
  </w:abstractNum>
  <w:abstractNum w:abstractNumId="7">
    <w:nsid w:val="5D06FBA8"/>
    <w:multiLevelType w:val="singleLevel"/>
    <w:tmpl w:val="5D06FBA8"/>
    <w:lvl w:ilvl="0" w:tentative="0">
      <w:start w:val="1"/>
      <w:numFmt w:val="decimal"/>
      <w:suff w:val="nothing"/>
      <w:lvlText w:val="%1、"/>
      <w:lvlJc w:val="left"/>
    </w:lvl>
  </w:abstractNum>
  <w:abstractNum w:abstractNumId="8">
    <w:nsid w:val="60EFEDAB"/>
    <w:multiLevelType w:val="singleLevel"/>
    <w:tmpl w:val="60EFEDAB"/>
    <w:lvl w:ilvl="0" w:tentative="0">
      <w:start w:val="1"/>
      <w:numFmt w:val="decimal"/>
      <w:suff w:val="nothing"/>
      <w:lvlText w:val="%1、"/>
      <w:lvlJc w:val="left"/>
    </w:lvl>
  </w:abstractNum>
  <w:abstractNum w:abstractNumId="9">
    <w:nsid w:val="67EB76E2"/>
    <w:multiLevelType w:val="multilevel"/>
    <w:tmpl w:val="67EB76E2"/>
    <w:lvl w:ilvl="0" w:tentative="0">
      <w:start w:val="1"/>
      <w:numFmt w:val="japaneseCounting"/>
      <w:lvlText w:val="%1、"/>
      <w:lvlJc w:val="left"/>
      <w:pPr>
        <w:tabs>
          <w:tab w:val="left" w:pos="720"/>
        </w:tabs>
        <w:ind w:left="720" w:hanging="720"/>
      </w:pPr>
      <w:rPr>
        <w:rFonts w:hint="eastAsia" w:ascii="宋体" w:hAnsi="宋体" w:eastAsia="宋体"/>
      </w:rPr>
    </w:lvl>
    <w:lvl w:ilvl="1" w:tentative="0">
      <w:start w:val="1"/>
      <w:numFmt w:val="decimal"/>
      <w:lvlText w:val="%2、"/>
      <w:lvlJc w:val="left"/>
      <w:pPr>
        <w:tabs>
          <w:tab w:val="left" w:pos="1140"/>
        </w:tabs>
        <w:ind w:left="1140" w:hanging="720"/>
      </w:pPr>
      <w:rPr>
        <w:rFonts w:hint="eastAsia"/>
        <w:color w:val="auto"/>
      </w:rPr>
    </w:lvl>
    <w:lvl w:ilvl="2" w:tentative="0">
      <w:start w:val="1"/>
      <w:numFmt w:val="koreanDigital2"/>
      <w:lvlText w:val="%3."/>
      <w:lvlJc w:val="lef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9"/>
  </w:num>
  <w:num w:numId="2">
    <w:abstractNumId w:val="4"/>
  </w:num>
  <w:num w:numId="3">
    <w:abstractNumId w:val="3"/>
  </w:num>
  <w:num w:numId="4">
    <w:abstractNumId w:val="2"/>
  </w:num>
  <w:num w:numId="5">
    <w:abstractNumId w:val="5"/>
  </w:num>
  <w:num w:numId="6">
    <w:abstractNumId w:val="0"/>
  </w:num>
  <w:num w:numId="7">
    <w:abstractNumId w:val="6"/>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289"/>
  <w:drawingGridVerticalSpacing w:val="601"/>
  <w:displayHorizontalDrawingGridEvery w:val="0"/>
  <w:displayVerticalDrawingGridEvery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1MDUzNTU4NGQ5ODliYzI3OGY5YzBiNmJmZjM2YzkifQ=="/>
    <w:docVar w:name="KGWebUrl" w:val="http://180.2.158.2:8088/sys/attachment/sys_att_main/jg_service.jsp"/>
  </w:docVars>
  <w:rsids>
    <w:rsidRoot w:val="00592C4E"/>
    <w:rsid w:val="00000A9E"/>
    <w:rsid w:val="00021045"/>
    <w:rsid w:val="00046E46"/>
    <w:rsid w:val="0009499B"/>
    <w:rsid w:val="000B269A"/>
    <w:rsid w:val="000B697B"/>
    <w:rsid w:val="000F2F26"/>
    <w:rsid w:val="00141A95"/>
    <w:rsid w:val="001926E8"/>
    <w:rsid w:val="001A6E93"/>
    <w:rsid w:val="001B26F7"/>
    <w:rsid w:val="001C7260"/>
    <w:rsid w:val="001E2C30"/>
    <w:rsid w:val="001E4D4E"/>
    <w:rsid w:val="00204414"/>
    <w:rsid w:val="002121F0"/>
    <w:rsid w:val="00215A58"/>
    <w:rsid w:val="00217911"/>
    <w:rsid w:val="00230368"/>
    <w:rsid w:val="00235E36"/>
    <w:rsid w:val="00240644"/>
    <w:rsid w:val="00240898"/>
    <w:rsid w:val="00245504"/>
    <w:rsid w:val="0027681E"/>
    <w:rsid w:val="00277121"/>
    <w:rsid w:val="002810F9"/>
    <w:rsid w:val="002B4759"/>
    <w:rsid w:val="002D7F94"/>
    <w:rsid w:val="002F240D"/>
    <w:rsid w:val="002F51EA"/>
    <w:rsid w:val="00303338"/>
    <w:rsid w:val="003302D3"/>
    <w:rsid w:val="00360D66"/>
    <w:rsid w:val="003747D9"/>
    <w:rsid w:val="003917AD"/>
    <w:rsid w:val="003A02A4"/>
    <w:rsid w:val="003A4E82"/>
    <w:rsid w:val="003C1F70"/>
    <w:rsid w:val="003D2255"/>
    <w:rsid w:val="00426D20"/>
    <w:rsid w:val="00464898"/>
    <w:rsid w:val="004C1EE4"/>
    <w:rsid w:val="004D6012"/>
    <w:rsid w:val="00512CD1"/>
    <w:rsid w:val="0056606B"/>
    <w:rsid w:val="00570C85"/>
    <w:rsid w:val="00592C4E"/>
    <w:rsid w:val="005A7A3E"/>
    <w:rsid w:val="005B3045"/>
    <w:rsid w:val="005B512B"/>
    <w:rsid w:val="005C1477"/>
    <w:rsid w:val="005C479D"/>
    <w:rsid w:val="005C6DD5"/>
    <w:rsid w:val="005D1041"/>
    <w:rsid w:val="005D62A8"/>
    <w:rsid w:val="005F51CC"/>
    <w:rsid w:val="005F634B"/>
    <w:rsid w:val="00604E83"/>
    <w:rsid w:val="00612877"/>
    <w:rsid w:val="006865C1"/>
    <w:rsid w:val="00692988"/>
    <w:rsid w:val="006A2645"/>
    <w:rsid w:val="006A65DC"/>
    <w:rsid w:val="006D0575"/>
    <w:rsid w:val="0070104A"/>
    <w:rsid w:val="00711352"/>
    <w:rsid w:val="0071657F"/>
    <w:rsid w:val="00743BA9"/>
    <w:rsid w:val="00791121"/>
    <w:rsid w:val="007B4D0F"/>
    <w:rsid w:val="007C5204"/>
    <w:rsid w:val="007C5DF4"/>
    <w:rsid w:val="007E66F2"/>
    <w:rsid w:val="00804103"/>
    <w:rsid w:val="00821BA4"/>
    <w:rsid w:val="008406BC"/>
    <w:rsid w:val="008645B3"/>
    <w:rsid w:val="008A765A"/>
    <w:rsid w:val="00900825"/>
    <w:rsid w:val="0095431B"/>
    <w:rsid w:val="009C461C"/>
    <w:rsid w:val="00A05CF8"/>
    <w:rsid w:val="00A22D2C"/>
    <w:rsid w:val="00A34984"/>
    <w:rsid w:val="00A5342B"/>
    <w:rsid w:val="00A658D8"/>
    <w:rsid w:val="00A659CB"/>
    <w:rsid w:val="00A95CA9"/>
    <w:rsid w:val="00AC410F"/>
    <w:rsid w:val="00B14E9D"/>
    <w:rsid w:val="00B322BB"/>
    <w:rsid w:val="00B46A7C"/>
    <w:rsid w:val="00B8679E"/>
    <w:rsid w:val="00BA4235"/>
    <w:rsid w:val="00BE7D05"/>
    <w:rsid w:val="00C339C1"/>
    <w:rsid w:val="00C93B8C"/>
    <w:rsid w:val="00CB7262"/>
    <w:rsid w:val="00D068EF"/>
    <w:rsid w:val="00D115EE"/>
    <w:rsid w:val="00D249F9"/>
    <w:rsid w:val="00D5452D"/>
    <w:rsid w:val="00D76E64"/>
    <w:rsid w:val="00D83C2F"/>
    <w:rsid w:val="00D962B4"/>
    <w:rsid w:val="00DB6146"/>
    <w:rsid w:val="00DD33C3"/>
    <w:rsid w:val="00E0039F"/>
    <w:rsid w:val="00E01179"/>
    <w:rsid w:val="00E45D30"/>
    <w:rsid w:val="00E830FE"/>
    <w:rsid w:val="00EA0244"/>
    <w:rsid w:val="00EA4D8D"/>
    <w:rsid w:val="00EB47BD"/>
    <w:rsid w:val="00EC20D5"/>
    <w:rsid w:val="00F040F7"/>
    <w:rsid w:val="00FC2B0A"/>
    <w:rsid w:val="00FE302F"/>
    <w:rsid w:val="019625CA"/>
    <w:rsid w:val="02290C78"/>
    <w:rsid w:val="022D2ED7"/>
    <w:rsid w:val="03A65913"/>
    <w:rsid w:val="03FB3C76"/>
    <w:rsid w:val="04D47E41"/>
    <w:rsid w:val="059F1F74"/>
    <w:rsid w:val="077E5580"/>
    <w:rsid w:val="07C50C3E"/>
    <w:rsid w:val="086841A5"/>
    <w:rsid w:val="0D6C6C92"/>
    <w:rsid w:val="0EBA47A2"/>
    <w:rsid w:val="12605370"/>
    <w:rsid w:val="14973429"/>
    <w:rsid w:val="153B507B"/>
    <w:rsid w:val="1775341B"/>
    <w:rsid w:val="188E0FDD"/>
    <w:rsid w:val="1B783F80"/>
    <w:rsid w:val="1C206271"/>
    <w:rsid w:val="1C6176C5"/>
    <w:rsid w:val="1E3D256A"/>
    <w:rsid w:val="1EA02EBD"/>
    <w:rsid w:val="1F1B0980"/>
    <w:rsid w:val="204936E1"/>
    <w:rsid w:val="205F61A5"/>
    <w:rsid w:val="213E3799"/>
    <w:rsid w:val="24295F4B"/>
    <w:rsid w:val="25011888"/>
    <w:rsid w:val="27FC6EA0"/>
    <w:rsid w:val="28855E8A"/>
    <w:rsid w:val="28B6467F"/>
    <w:rsid w:val="29176912"/>
    <w:rsid w:val="2C7C460F"/>
    <w:rsid w:val="2D9C65FB"/>
    <w:rsid w:val="2E1203CC"/>
    <w:rsid w:val="2E2B17D9"/>
    <w:rsid w:val="2FA058EC"/>
    <w:rsid w:val="320C45D6"/>
    <w:rsid w:val="32766206"/>
    <w:rsid w:val="33604FC3"/>
    <w:rsid w:val="33CB0884"/>
    <w:rsid w:val="375A3E45"/>
    <w:rsid w:val="37E64902"/>
    <w:rsid w:val="391442DA"/>
    <w:rsid w:val="39DC2C66"/>
    <w:rsid w:val="3B1C1DD6"/>
    <w:rsid w:val="3BF07775"/>
    <w:rsid w:val="3C9F4B00"/>
    <w:rsid w:val="3D87287F"/>
    <w:rsid w:val="3DB1164E"/>
    <w:rsid w:val="3ED42115"/>
    <w:rsid w:val="40D4157E"/>
    <w:rsid w:val="417E68E3"/>
    <w:rsid w:val="41843FFA"/>
    <w:rsid w:val="41932769"/>
    <w:rsid w:val="42A731A4"/>
    <w:rsid w:val="46933088"/>
    <w:rsid w:val="493460AB"/>
    <w:rsid w:val="4A206BAE"/>
    <w:rsid w:val="4B3E2BAC"/>
    <w:rsid w:val="4BA4747B"/>
    <w:rsid w:val="4C876860"/>
    <w:rsid w:val="4D5462B6"/>
    <w:rsid w:val="4E886898"/>
    <w:rsid w:val="4E8D41E2"/>
    <w:rsid w:val="50BE5787"/>
    <w:rsid w:val="524F7BF5"/>
    <w:rsid w:val="52F13F89"/>
    <w:rsid w:val="53FC0D10"/>
    <w:rsid w:val="56E02A56"/>
    <w:rsid w:val="56F81816"/>
    <w:rsid w:val="574F7D37"/>
    <w:rsid w:val="59EC4534"/>
    <w:rsid w:val="5AB52371"/>
    <w:rsid w:val="5BA61325"/>
    <w:rsid w:val="5BD16238"/>
    <w:rsid w:val="5BE10A77"/>
    <w:rsid w:val="5CBD7926"/>
    <w:rsid w:val="5DD94AD9"/>
    <w:rsid w:val="5E867220"/>
    <w:rsid w:val="613B62A9"/>
    <w:rsid w:val="61520ED9"/>
    <w:rsid w:val="616662A7"/>
    <w:rsid w:val="631B3730"/>
    <w:rsid w:val="63246998"/>
    <w:rsid w:val="63F4263D"/>
    <w:rsid w:val="6607387D"/>
    <w:rsid w:val="6653082D"/>
    <w:rsid w:val="67494A95"/>
    <w:rsid w:val="67AB64C9"/>
    <w:rsid w:val="68D053B5"/>
    <w:rsid w:val="694A1263"/>
    <w:rsid w:val="69FF6F72"/>
    <w:rsid w:val="6A517C88"/>
    <w:rsid w:val="6B5965FE"/>
    <w:rsid w:val="6C3C5AFC"/>
    <w:rsid w:val="6D155F2E"/>
    <w:rsid w:val="6DD4039B"/>
    <w:rsid w:val="6F9021B4"/>
    <w:rsid w:val="71CF1058"/>
    <w:rsid w:val="728141E2"/>
    <w:rsid w:val="72D64480"/>
    <w:rsid w:val="75FC2C8B"/>
    <w:rsid w:val="77E6386D"/>
    <w:rsid w:val="792D4D8E"/>
    <w:rsid w:val="79EF640C"/>
    <w:rsid w:val="7A0E1C4E"/>
    <w:rsid w:val="7A5A6005"/>
    <w:rsid w:val="7BE81FC4"/>
    <w:rsid w:val="7C822923"/>
    <w:rsid w:val="7CBE0F2B"/>
    <w:rsid w:val="7DE456A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unhideWhenUsed="0" w:uiPriority="99"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30"/>
      <w:lang w:val="en-US" w:eastAsia="zh-CN" w:bidi="ar-SA"/>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ody Text Indent"/>
    <w:basedOn w:val="1"/>
    <w:link w:val="13"/>
    <w:unhideWhenUsed/>
    <w:uiPriority w:val="99"/>
    <w:pPr>
      <w:spacing w:after="120"/>
      <w:ind w:left="420" w:leftChars="200"/>
    </w:pPr>
    <w:rPr>
      <w:kern w:val="0"/>
    </w:rPr>
  </w:style>
  <w:style w:type="paragraph" w:styleId="4">
    <w:name w:val="Body Text Indent 2"/>
    <w:basedOn w:val="1"/>
    <w:link w:val="14"/>
    <w:qFormat/>
    <w:uiPriority w:val="0"/>
    <w:pPr>
      <w:spacing w:line="360" w:lineRule="auto"/>
      <w:ind w:firstLine="560" w:firstLineChars="200"/>
    </w:pPr>
    <w:rPr>
      <w:rFonts w:ascii="仿宋_GB2312" w:hAnsi="Arial"/>
      <w:kern w:val="0"/>
      <w:sz w:val="28"/>
      <w:szCs w:val="24"/>
    </w:rPr>
  </w:style>
  <w:style w:type="paragraph" w:styleId="5">
    <w:name w:val="Balloon Text"/>
    <w:basedOn w:val="1"/>
    <w:semiHidden/>
    <w:qFormat/>
    <w:uiPriority w:val="0"/>
    <w:rPr>
      <w:sz w:val="18"/>
      <w:szCs w:val="18"/>
    </w:rPr>
  </w:style>
  <w:style w:type="paragraph" w:styleId="6">
    <w:name w:val="footer"/>
    <w:basedOn w:val="1"/>
    <w:link w:val="15"/>
    <w:uiPriority w:val="0"/>
    <w:pPr>
      <w:tabs>
        <w:tab w:val="center" w:pos="4153"/>
        <w:tab w:val="right" w:pos="8306"/>
      </w:tabs>
      <w:snapToGrid w:val="0"/>
      <w:jc w:val="left"/>
    </w:pPr>
    <w:rPr>
      <w:kern w:val="0"/>
      <w:sz w:val="18"/>
      <w:szCs w:val="18"/>
    </w:rPr>
  </w:style>
  <w:style w:type="paragraph" w:styleId="7">
    <w:name w:val="header"/>
    <w:basedOn w:val="1"/>
    <w:link w:val="16"/>
    <w:uiPriority w:val="99"/>
    <w:pPr>
      <w:pBdr>
        <w:bottom w:val="single" w:color="auto" w:sz="6" w:space="1"/>
      </w:pBdr>
      <w:tabs>
        <w:tab w:val="center" w:pos="4153"/>
        <w:tab w:val="right" w:pos="8306"/>
      </w:tabs>
      <w:snapToGrid w:val="0"/>
      <w:jc w:val="center"/>
    </w:pPr>
    <w:rPr>
      <w:rFonts w:eastAsia="宋体"/>
      <w:kern w:val="0"/>
      <w:sz w:val="18"/>
      <w:szCs w:val="18"/>
    </w:rPr>
  </w:style>
  <w:style w:type="paragraph" w:styleId="8">
    <w:name w:val="annotation subject"/>
    <w:basedOn w:val="2"/>
    <w:next w:val="2"/>
    <w:semiHidden/>
    <w:qFormat/>
    <w:uiPriority w:val="0"/>
    <w:rPr>
      <w:b/>
      <w:bCs/>
    </w:rPr>
  </w:style>
  <w:style w:type="character" w:styleId="11">
    <w:name w:val="page number"/>
    <w:basedOn w:val="10"/>
    <w:uiPriority w:val="0"/>
  </w:style>
  <w:style w:type="character" w:styleId="12">
    <w:name w:val="annotation reference"/>
    <w:semiHidden/>
    <w:qFormat/>
    <w:uiPriority w:val="0"/>
    <w:rPr>
      <w:sz w:val="21"/>
      <w:szCs w:val="21"/>
    </w:rPr>
  </w:style>
  <w:style w:type="character" w:customStyle="1" w:styleId="13">
    <w:name w:val="正文文本缩进 字符"/>
    <w:link w:val="3"/>
    <w:semiHidden/>
    <w:qFormat/>
    <w:uiPriority w:val="99"/>
    <w:rPr>
      <w:rFonts w:ascii="Times New Roman" w:hAnsi="Times New Roman" w:eastAsia="仿宋_GB2312" w:cs="Times New Roman"/>
      <w:sz w:val="30"/>
      <w:szCs w:val="30"/>
    </w:rPr>
  </w:style>
  <w:style w:type="character" w:customStyle="1" w:styleId="14">
    <w:name w:val="正文文本缩进 2 字符"/>
    <w:link w:val="4"/>
    <w:uiPriority w:val="0"/>
    <w:rPr>
      <w:rFonts w:ascii="仿宋_GB2312" w:hAnsi="Arial" w:eastAsia="仿宋_GB2312" w:cs="Arial"/>
      <w:sz w:val="28"/>
      <w:szCs w:val="24"/>
    </w:rPr>
  </w:style>
  <w:style w:type="character" w:customStyle="1" w:styleId="15">
    <w:name w:val="页脚 字符"/>
    <w:link w:val="6"/>
    <w:qFormat/>
    <w:uiPriority w:val="0"/>
    <w:rPr>
      <w:rFonts w:ascii="Times New Roman" w:hAnsi="Times New Roman" w:eastAsia="仿宋_GB2312" w:cs="Times New Roman"/>
      <w:sz w:val="18"/>
      <w:szCs w:val="18"/>
    </w:rPr>
  </w:style>
  <w:style w:type="character" w:customStyle="1" w:styleId="16">
    <w:name w:val="页眉 字符"/>
    <w:link w:val="7"/>
    <w:uiPriority w:val="99"/>
    <w:rPr>
      <w:rFonts w:ascii="Times New Roman" w:hAnsi="Times New Roman" w:eastAsia="宋体" w:cs="Times New Roman"/>
      <w:sz w:val="18"/>
      <w:szCs w:val="18"/>
    </w:rPr>
  </w:style>
  <w:style w:type="paragraph" w:customStyle="1" w:styleId="17">
    <w:name w:val="特点"/>
    <w:basedOn w:val="1"/>
    <w:next w:val="3"/>
    <w:qFormat/>
    <w:uiPriority w:val="0"/>
    <w:pPr>
      <w:spacing w:line="300" w:lineRule="exact"/>
      <w:ind w:right="26" w:firstLine="435"/>
    </w:pPr>
    <w:rPr>
      <w:rFonts w:eastAsia="黑体"/>
      <w:sz w:val="18"/>
      <w:szCs w:val="24"/>
    </w:rPr>
  </w:style>
  <w:style w:type="paragraph" w:customStyle="1" w:styleId="18">
    <w:name w:val="_Style 17"/>
    <w:unhideWhenUsed/>
    <w:qFormat/>
    <w:uiPriority w:val="99"/>
    <w:rPr>
      <w:rFonts w:ascii="Times New Roman" w:hAnsi="Times New Roman" w:eastAsia="仿宋_GB2312" w:cs="Times New Roman"/>
      <w:kern w:val="2"/>
      <w:sz w:val="30"/>
      <w:szCs w:val="3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2</Pages>
  <Words>3065</Words>
  <Characters>3072</Characters>
  <Lines>22</Lines>
  <Paragraphs>6</Paragraphs>
  <TotalTime>20</TotalTime>
  <ScaleCrop>false</ScaleCrop>
  <LinksUpToDate>false</LinksUpToDate>
  <CharactersWithSpaces>3208</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2015-03-17T07:56:00Z</dcterms:created>
  <dc:creator>叶德森</dc:creator>
  <cp:lastModifiedBy>黄雅雯</cp:lastModifiedBy>
  <cp:lastPrinted>2014-10-27T02:42:00Z</cp:lastPrinted>
  <dcterms:modified xsi:type="dcterms:W3CDTF">2023-03-16T06:50:18Z</dcterms:modified>
  <dc:title>东莞银行理财计划协议书</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AECD08B6BBD640F9B8BDEE3A6679E8AB</vt:lpwstr>
  </property>
</Properties>
</file>