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东莞银行股份有限公司理财业务半年报告（202</w:t>
      </w:r>
      <w:r>
        <w:rPr>
          <w:rFonts w:hint="eastAsia" w:asciiTheme="minorEastAsia" w:hAnsiTheme="minorEastAsia" w:cstheme="minorEastAsia"/>
          <w:b/>
          <w:bCs/>
          <w:sz w:val="32"/>
          <w:szCs w:val="32"/>
          <w:lang w:val="en-US" w:eastAsia="zh-CN"/>
        </w:rPr>
        <w:t>6</w:t>
      </w:r>
      <w:r>
        <w:rPr>
          <w:rFonts w:hint="eastAsia" w:asciiTheme="minorEastAsia" w:hAnsiTheme="minorEastAsia" w:eastAsiaTheme="minorEastAsia" w:cstheme="minorEastAsia"/>
          <w:b/>
          <w:bCs/>
          <w:sz w:val="32"/>
          <w:szCs w:val="32"/>
          <w:lang w:val="en-US" w:eastAsia="zh-CN"/>
        </w:rPr>
        <w:t>年</w:t>
      </w:r>
      <w:r>
        <w:rPr>
          <w:rFonts w:hint="eastAsia" w:asciiTheme="minorEastAsia" w:hAnsiTheme="minorEastAsia" w:cstheme="minorEastAsia"/>
          <w:b/>
          <w:bCs/>
          <w:sz w:val="32"/>
          <w:szCs w:val="32"/>
          <w:lang w:val="en-US" w:eastAsia="zh-CN"/>
        </w:rPr>
        <w:t>上</w:t>
      </w:r>
      <w:r>
        <w:rPr>
          <w:rFonts w:hint="eastAsia" w:asciiTheme="minorEastAsia" w:hAnsiTheme="minorEastAsia" w:eastAsiaTheme="minorEastAsia" w:cstheme="minorEastAsia"/>
          <w:b/>
          <w:bCs/>
          <w:sz w:val="32"/>
          <w:szCs w:val="32"/>
          <w:lang w:val="en-US" w:eastAsia="zh-CN"/>
        </w:rPr>
        <w:t>半年）</w:t>
      </w: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line="480" w:lineRule="auto"/>
        <w:jc w:val="left"/>
        <w:textAlignment w:val="auto"/>
        <w:rPr>
          <w:rFonts w:hint="eastAsia" w:asciiTheme="minorEastAsia" w:hAnsiTheme="minorEastAsia" w:eastAsiaTheme="minorEastAsia" w:cstheme="minorEastAsia"/>
          <w:b/>
          <w:bCs/>
          <w:i w:val="0"/>
          <w:caps w:val="0"/>
          <w:color w:val="auto"/>
          <w:spacing w:val="10"/>
          <w:sz w:val="28"/>
          <w:szCs w:val="28"/>
          <w:highlight w:val="none"/>
          <w:u w:val="none"/>
          <w:lang w:val="en-US" w:eastAsia="zh-CN"/>
        </w:rPr>
      </w:pPr>
      <w:r>
        <w:rPr>
          <w:rFonts w:hint="eastAsia" w:asciiTheme="minorEastAsia" w:hAnsiTheme="minorEastAsia" w:eastAsiaTheme="minorEastAsia" w:cstheme="minorEastAsia"/>
          <w:b/>
          <w:bCs/>
          <w:i w:val="0"/>
          <w:caps w:val="0"/>
          <w:color w:val="auto"/>
          <w:spacing w:val="10"/>
          <w:sz w:val="28"/>
          <w:szCs w:val="28"/>
          <w:highlight w:val="none"/>
          <w:u w:val="none"/>
          <w:lang w:val="en-US" w:eastAsia="zh-CN"/>
        </w:rPr>
        <w:t>报告期内理财产品发行/到期情况</w:t>
      </w:r>
    </w:p>
    <w:p>
      <w:pPr>
        <w:pStyle w:val="5"/>
        <w:keepNext w:val="0"/>
        <w:keepLines w:val="0"/>
        <w:pageBreakBefore w:val="0"/>
        <w:widowControl/>
        <w:suppressLineNumbers w:val="0"/>
        <w:kinsoku/>
        <w:wordWrap/>
        <w:overflowPunct/>
        <w:topLinePunct w:val="0"/>
        <w:autoSpaceDE/>
        <w:autoSpaceDN/>
        <w:bidi w:val="0"/>
        <w:adjustRightInd/>
        <w:snapToGrid/>
        <w:spacing w:line="480" w:lineRule="auto"/>
        <w:ind w:firstLine="520" w:firstLineChars="200"/>
        <w:jc w:val="left"/>
        <w:textAlignment w:val="auto"/>
        <w:rPr>
          <w:rFonts w:hint="eastAsia" w:asciiTheme="minorEastAsia" w:hAnsiTheme="minorEastAsia" w:eastAsiaTheme="minorEastAsia" w:cstheme="minorEastAsia"/>
          <w:i w:val="0"/>
          <w:caps w:val="0"/>
          <w:color w:val="auto"/>
          <w:spacing w:val="10"/>
          <w:sz w:val="24"/>
          <w:szCs w:val="24"/>
          <w:highlight w:val="none"/>
          <w:u w:val="none"/>
        </w:rPr>
      </w:pPr>
      <w:r>
        <w:rPr>
          <w:rFonts w:hint="eastAsia" w:asciiTheme="minorEastAsia" w:hAnsiTheme="minorEastAsia" w:eastAsiaTheme="minorEastAsia" w:cstheme="minorEastAsia"/>
          <w:i w:val="0"/>
          <w:caps w:val="0"/>
          <w:color w:val="000000"/>
          <w:spacing w:val="10"/>
          <w:sz w:val="24"/>
          <w:szCs w:val="24"/>
          <w:highlight w:val="none"/>
          <w:u w:val="none"/>
        </w:rPr>
        <w:t>报告期内我</w:t>
      </w:r>
      <w:r>
        <w:rPr>
          <w:rFonts w:hint="eastAsia" w:asciiTheme="minorEastAsia" w:hAnsiTheme="minorEastAsia" w:eastAsiaTheme="minorEastAsia" w:cstheme="minorEastAsia"/>
          <w:i w:val="0"/>
          <w:caps w:val="0"/>
          <w:color w:val="000000"/>
          <w:spacing w:val="10"/>
          <w:sz w:val="24"/>
          <w:szCs w:val="24"/>
          <w:highlight w:val="none"/>
          <w:u w:val="none"/>
          <w:lang w:eastAsia="zh-CN"/>
        </w:rPr>
        <w:t>行</w:t>
      </w:r>
      <w:r>
        <w:rPr>
          <w:rFonts w:hint="eastAsia" w:asciiTheme="minorEastAsia" w:hAnsiTheme="minorEastAsia" w:eastAsiaTheme="minorEastAsia" w:cstheme="minorEastAsia"/>
          <w:i w:val="0"/>
          <w:caps w:val="0"/>
          <w:color w:val="000000"/>
          <w:spacing w:val="10"/>
          <w:sz w:val="24"/>
          <w:szCs w:val="24"/>
          <w:highlight w:val="none"/>
          <w:u w:val="none"/>
        </w:rPr>
        <w:t>共发行理财产品</w:t>
      </w:r>
      <w:r>
        <w:rPr>
          <w:rFonts w:hint="eastAsia" w:asciiTheme="minorEastAsia" w:hAnsiTheme="minorEastAsia" w:cstheme="minorEastAsia"/>
          <w:i w:val="0"/>
          <w:caps w:val="0"/>
          <w:color w:val="000000"/>
          <w:spacing w:val="10"/>
          <w:sz w:val="24"/>
          <w:szCs w:val="24"/>
          <w:highlight w:val="none"/>
          <w:u w:val="none"/>
          <w:lang w:val="en-US" w:eastAsia="zh-CN"/>
        </w:rPr>
        <w:t>29</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。按募集方式划分，公募理财产品</w:t>
      </w:r>
      <w:r>
        <w:rPr>
          <w:rFonts w:hint="eastAsia" w:asciiTheme="minorEastAsia" w:hAnsiTheme="minorEastAsia" w:cstheme="minorEastAsia"/>
          <w:i w:val="0"/>
          <w:caps w:val="0"/>
          <w:color w:val="000000"/>
          <w:spacing w:val="10"/>
          <w:sz w:val="24"/>
          <w:szCs w:val="24"/>
          <w:highlight w:val="none"/>
          <w:u w:val="none"/>
          <w:lang w:val="en-US" w:eastAsia="zh-CN"/>
        </w:rPr>
        <w:t>8</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w:t>
      </w:r>
      <w:r>
        <w:rPr>
          <w:rFonts w:hint="eastAsia" w:asciiTheme="minorEastAsia" w:hAnsiTheme="minorEastAsia" w:eastAsiaTheme="minorEastAsia" w:cstheme="minorEastAsia"/>
          <w:i w:val="0"/>
          <w:caps w:val="0"/>
          <w:color w:val="000000"/>
          <w:spacing w:val="10"/>
          <w:sz w:val="24"/>
          <w:szCs w:val="24"/>
          <w:highlight w:val="none"/>
          <w:u w:val="none"/>
          <w:lang w:eastAsia="zh-CN"/>
        </w:rPr>
        <w:t>发行</w:t>
      </w:r>
      <w:r>
        <w:rPr>
          <w:rFonts w:hint="eastAsia" w:asciiTheme="minorEastAsia" w:hAnsiTheme="minorEastAsia" w:eastAsiaTheme="minorEastAsia" w:cstheme="minorEastAsia"/>
          <w:i w:val="0"/>
          <w:caps w:val="0"/>
          <w:color w:val="000000"/>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0.11</w:t>
      </w:r>
      <w:r>
        <w:rPr>
          <w:rFonts w:hint="eastAsia" w:asciiTheme="minorEastAsia" w:hAnsiTheme="minorEastAsia" w:eastAsiaTheme="minorEastAsia" w:cstheme="minorEastAsia"/>
          <w:i w:val="0"/>
          <w:caps w:val="0"/>
          <w:color w:val="000000"/>
          <w:spacing w:val="10"/>
          <w:sz w:val="24"/>
          <w:szCs w:val="24"/>
          <w:highlight w:val="none"/>
          <w:u w:val="none"/>
        </w:rPr>
        <w:t>亿元；私募理财产品</w:t>
      </w:r>
      <w:r>
        <w:rPr>
          <w:rFonts w:hint="eastAsia" w:asciiTheme="minorEastAsia" w:hAnsiTheme="minorEastAsia" w:cstheme="minorEastAsia"/>
          <w:i w:val="0"/>
          <w:caps w:val="0"/>
          <w:color w:val="000000"/>
          <w:spacing w:val="10"/>
          <w:sz w:val="24"/>
          <w:szCs w:val="24"/>
          <w:highlight w:val="none"/>
          <w:u w:val="none"/>
          <w:lang w:val="en-US" w:eastAsia="zh-CN"/>
        </w:rPr>
        <w:t>21</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w:t>
      </w:r>
      <w:r>
        <w:rPr>
          <w:rFonts w:hint="eastAsia" w:asciiTheme="minorEastAsia" w:hAnsiTheme="minorEastAsia" w:eastAsiaTheme="minorEastAsia" w:cstheme="minorEastAsia"/>
          <w:i w:val="0"/>
          <w:caps w:val="0"/>
          <w:color w:val="000000"/>
          <w:spacing w:val="10"/>
          <w:sz w:val="24"/>
          <w:szCs w:val="24"/>
          <w:highlight w:val="none"/>
          <w:u w:val="none"/>
          <w:lang w:eastAsia="zh-CN"/>
        </w:rPr>
        <w:t>发行</w:t>
      </w:r>
      <w:r>
        <w:rPr>
          <w:rFonts w:hint="eastAsia" w:asciiTheme="minorEastAsia" w:hAnsiTheme="minorEastAsia" w:eastAsiaTheme="minorEastAsia" w:cstheme="minorEastAsia"/>
          <w:i w:val="0"/>
          <w:caps w:val="0"/>
          <w:color w:val="000000"/>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9.66</w:t>
      </w:r>
      <w:r>
        <w:rPr>
          <w:rFonts w:hint="eastAsia" w:asciiTheme="minorEastAsia" w:hAnsiTheme="minorEastAsia" w:eastAsiaTheme="minorEastAsia" w:cstheme="minorEastAsia"/>
          <w:i w:val="0"/>
          <w:caps w:val="0"/>
          <w:color w:val="000000"/>
          <w:spacing w:val="10"/>
          <w:sz w:val="24"/>
          <w:szCs w:val="24"/>
          <w:highlight w:val="none"/>
          <w:u w:val="none"/>
        </w:rPr>
        <w:t>亿元。</w:t>
      </w:r>
      <w:r>
        <w:rPr>
          <w:rFonts w:hint="eastAsia" w:asciiTheme="minorEastAsia" w:hAnsiTheme="minorEastAsia" w:eastAsiaTheme="minorEastAsia" w:cstheme="minorEastAsia"/>
          <w:i w:val="0"/>
          <w:caps w:val="0"/>
          <w:color w:val="auto"/>
          <w:spacing w:val="10"/>
          <w:sz w:val="24"/>
          <w:szCs w:val="24"/>
          <w:highlight w:val="none"/>
          <w:u w:val="none"/>
        </w:rPr>
        <w:t>按投资性质划分，固定收益类产品</w:t>
      </w:r>
      <w:r>
        <w:rPr>
          <w:rFonts w:hint="eastAsia" w:asciiTheme="minorEastAsia" w:hAnsiTheme="minorEastAsia" w:cstheme="minorEastAsia"/>
          <w:i w:val="0"/>
          <w:caps w:val="0"/>
          <w:color w:val="000000"/>
          <w:spacing w:val="10"/>
          <w:sz w:val="24"/>
          <w:szCs w:val="24"/>
          <w:highlight w:val="none"/>
          <w:u w:val="none"/>
          <w:lang w:val="en-US" w:eastAsia="zh-CN"/>
        </w:rPr>
        <w:t>29</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auto"/>
          <w:spacing w:val="10"/>
          <w:sz w:val="24"/>
          <w:szCs w:val="24"/>
          <w:highlight w:val="none"/>
          <w:u w:val="none"/>
        </w:rPr>
        <w:t>，</w:t>
      </w:r>
      <w:r>
        <w:rPr>
          <w:rFonts w:hint="eastAsia" w:asciiTheme="minorEastAsia" w:hAnsiTheme="minorEastAsia" w:eastAsiaTheme="minorEastAsia" w:cstheme="minorEastAsia"/>
          <w:i w:val="0"/>
          <w:caps w:val="0"/>
          <w:color w:val="auto"/>
          <w:spacing w:val="10"/>
          <w:sz w:val="24"/>
          <w:szCs w:val="24"/>
          <w:highlight w:val="none"/>
          <w:u w:val="none"/>
          <w:lang w:eastAsia="zh-CN"/>
        </w:rPr>
        <w:t>发行</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9.77</w:t>
      </w:r>
      <w:r>
        <w:rPr>
          <w:rFonts w:hint="eastAsia" w:asciiTheme="minorEastAsia" w:hAnsiTheme="minorEastAsia" w:eastAsiaTheme="minorEastAsia" w:cstheme="minorEastAsia"/>
          <w:i w:val="0"/>
          <w:caps w:val="0"/>
          <w:color w:val="auto"/>
          <w:spacing w:val="10"/>
          <w:sz w:val="24"/>
          <w:szCs w:val="24"/>
          <w:highlight w:val="none"/>
          <w:u w:val="none"/>
        </w:rPr>
        <w:t>亿元；权益类产品</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0只</w:t>
      </w:r>
      <w:r>
        <w:rPr>
          <w:rFonts w:hint="eastAsia" w:asciiTheme="minorEastAsia" w:hAnsiTheme="minorEastAsia" w:eastAsiaTheme="minorEastAsia" w:cstheme="minorEastAsia"/>
          <w:i w:val="0"/>
          <w:caps w:val="0"/>
          <w:color w:val="auto"/>
          <w:spacing w:val="10"/>
          <w:sz w:val="24"/>
          <w:szCs w:val="24"/>
          <w:highlight w:val="none"/>
          <w:u w:val="none"/>
        </w:rPr>
        <w:t>，</w:t>
      </w:r>
      <w:r>
        <w:rPr>
          <w:rFonts w:hint="eastAsia" w:asciiTheme="minorEastAsia" w:hAnsiTheme="minorEastAsia" w:eastAsiaTheme="minorEastAsia" w:cstheme="minorEastAsia"/>
          <w:i w:val="0"/>
          <w:caps w:val="0"/>
          <w:color w:val="auto"/>
          <w:spacing w:val="10"/>
          <w:sz w:val="24"/>
          <w:szCs w:val="24"/>
          <w:highlight w:val="none"/>
          <w:u w:val="none"/>
          <w:lang w:eastAsia="zh-CN"/>
        </w:rPr>
        <w:t>发行</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w:t>
      </w:r>
      <w:r>
        <w:rPr>
          <w:rFonts w:hint="eastAsia" w:asciiTheme="minorEastAsia" w:hAnsiTheme="minorEastAsia" w:cstheme="minorEastAsia"/>
          <w:i w:val="0"/>
          <w:caps w:val="0"/>
          <w:color w:val="000000"/>
          <w:spacing w:val="10"/>
          <w:sz w:val="24"/>
          <w:szCs w:val="24"/>
          <w:highlight w:val="none"/>
          <w:u w:val="none"/>
          <w:lang w:val="en-US" w:eastAsia="zh-CN"/>
        </w:rPr>
        <w:t>.00</w:t>
      </w:r>
      <w:r>
        <w:rPr>
          <w:rFonts w:hint="eastAsia" w:asciiTheme="minorEastAsia" w:hAnsiTheme="minorEastAsia" w:eastAsiaTheme="minorEastAsia" w:cstheme="minorEastAsia"/>
          <w:i w:val="0"/>
          <w:caps w:val="0"/>
          <w:color w:val="auto"/>
          <w:spacing w:val="10"/>
          <w:sz w:val="24"/>
          <w:szCs w:val="24"/>
          <w:highlight w:val="none"/>
          <w:u w:val="none"/>
        </w:rPr>
        <w:t>亿元；混合类产品</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0只</w:t>
      </w:r>
      <w:r>
        <w:rPr>
          <w:rFonts w:hint="eastAsia" w:asciiTheme="minorEastAsia" w:hAnsiTheme="minorEastAsia" w:eastAsiaTheme="minorEastAsia" w:cstheme="minorEastAsia"/>
          <w:i w:val="0"/>
          <w:caps w:val="0"/>
          <w:color w:val="auto"/>
          <w:spacing w:val="10"/>
          <w:sz w:val="24"/>
          <w:szCs w:val="24"/>
          <w:highlight w:val="none"/>
          <w:u w:val="none"/>
        </w:rPr>
        <w:t>，</w:t>
      </w:r>
      <w:r>
        <w:rPr>
          <w:rFonts w:hint="eastAsia" w:asciiTheme="minorEastAsia" w:hAnsiTheme="minorEastAsia" w:eastAsiaTheme="minorEastAsia" w:cstheme="minorEastAsia"/>
          <w:i w:val="0"/>
          <w:caps w:val="0"/>
          <w:color w:val="auto"/>
          <w:spacing w:val="10"/>
          <w:sz w:val="24"/>
          <w:szCs w:val="24"/>
          <w:highlight w:val="none"/>
          <w:u w:val="none"/>
          <w:lang w:eastAsia="zh-CN"/>
        </w:rPr>
        <w:t>发行</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w:t>
      </w:r>
      <w:r>
        <w:rPr>
          <w:rFonts w:hint="eastAsia" w:asciiTheme="minorEastAsia" w:hAnsiTheme="minorEastAsia" w:cstheme="minorEastAsia"/>
          <w:i w:val="0"/>
          <w:caps w:val="0"/>
          <w:color w:val="000000"/>
          <w:spacing w:val="10"/>
          <w:sz w:val="24"/>
          <w:szCs w:val="24"/>
          <w:highlight w:val="none"/>
          <w:u w:val="none"/>
          <w:lang w:val="en-US" w:eastAsia="zh-CN"/>
        </w:rPr>
        <w:t>.00</w:t>
      </w:r>
      <w:r>
        <w:rPr>
          <w:rFonts w:hint="eastAsia" w:asciiTheme="minorEastAsia" w:hAnsiTheme="minorEastAsia" w:eastAsiaTheme="minorEastAsia" w:cstheme="minorEastAsia"/>
          <w:i w:val="0"/>
          <w:caps w:val="0"/>
          <w:color w:val="auto"/>
          <w:spacing w:val="10"/>
          <w:sz w:val="24"/>
          <w:szCs w:val="24"/>
          <w:highlight w:val="none"/>
          <w:u w:val="none"/>
        </w:rPr>
        <w:t>亿元。</w:t>
      </w:r>
    </w:p>
    <w:p>
      <w:pPr>
        <w:pStyle w:val="5"/>
        <w:keepNext w:val="0"/>
        <w:keepLines w:val="0"/>
        <w:pageBreakBefore w:val="0"/>
        <w:widowControl/>
        <w:suppressLineNumbers w:val="0"/>
        <w:kinsoku/>
        <w:wordWrap/>
        <w:overflowPunct/>
        <w:topLinePunct w:val="0"/>
        <w:autoSpaceDE/>
        <w:autoSpaceDN/>
        <w:bidi w:val="0"/>
        <w:adjustRightInd/>
        <w:snapToGrid/>
        <w:spacing w:line="480" w:lineRule="auto"/>
        <w:ind w:firstLine="520" w:firstLineChars="200"/>
        <w:jc w:val="left"/>
        <w:textAlignment w:val="auto"/>
        <w:rPr>
          <w:rFonts w:hint="eastAsia" w:asciiTheme="minorEastAsia" w:hAnsiTheme="minorEastAsia" w:eastAsiaTheme="minorEastAsia" w:cstheme="minorEastAsia"/>
          <w:i w:val="0"/>
          <w:caps w:val="0"/>
          <w:color w:val="auto"/>
          <w:spacing w:val="10"/>
          <w:sz w:val="24"/>
          <w:szCs w:val="24"/>
          <w:highlight w:val="none"/>
          <w:u w:val="none"/>
        </w:rPr>
      </w:pPr>
      <w:r>
        <w:rPr>
          <w:rFonts w:hint="eastAsia" w:asciiTheme="minorEastAsia" w:hAnsiTheme="minorEastAsia" w:eastAsiaTheme="minorEastAsia" w:cstheme="minorEastAsia"/>
          <w:i w:val="0"/>
          <w:caps w:val="0"/>
          <w:color w:val="000000"/>
          <w:spacing w:val="10"/>
          <w:sz w:val="24"/>
          <w:szCs w:val="24"/>
          <w:highlight w:val="none"/>
          <w:u w:val="none"/>
        </w:rPr>
        <w:t>报告期内我</w:t>
      </w:r>
      <w:r>
        <w:rPr>
          <w:rFonts w:hint="eastAsia" w:asciiTheme="minorEastAsia" w:hAnsiTheme="minorEastAsia" w:eastAsiaTheme="minorEastAsia" w:cstheme="minorEastAsia"/>
          <w:i w:val="0"/>
          <w:caps w:val="0"/>
          <w:color w:val="000000"/>
          <w:spacing w:val="10"/>
          <w:sz w:val="24"/>
          <w:szCs w:val="24"/>
          <w:highlight w:val="none"/>
          <w:u w:val="none"/>
          <w:lang w:eastAsia="zh-CN"/>
        </w:rPr>
        <w:t>行</w:t>
      </w:r>
      <w:r>
        <w:rPr>
          <w:rFonts w:hint="eastAsia" w:asciiTheme="minorEastAsia" w:hAnsiTheme="minorEastAsia" w:eastAsiaTheme="minorEastAsia" w:cstheme="minorEastAsia"/>
          <w:i w:val="0"/>
          <w:caps w:val="0"/>
          <w:color w:val="000000"/>
          <w:spacing w:val="10"/>
          <w:sz w:val="24"/>
          <w:szCs w:val="24"/>
          <w:highlight w:val="none"/>
          <w:u w:val="none"/>
        </w:rPr>
        <w:t>共</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到期</w:t>
      </w:r>
      <w:r>
        <w:rPr>
          <w:rFonts w:hint="eastAsia" w:asciiTheme="minorEastAsia" w:hAnsiTheme="minorEastAsia" w:eastAsiaTheme="minorEastAsia" w:cstheme="minorEastAsia"/>
          <w:i w:val="0"/>
          <w:caps w:val="0"/>
          <w:color w:val="000000"/>
          <w:spacing w:val="10"/>
          <w:sz w:val="24"/>
          <w:szCs w:val="24"/>
          <w:highlight w:val="none"/>
          <w:u w:val="none"/>
        </w:rPr>
        <w:t>理财产品</w:t>
      </w:r>
      <w:r>
        <w:rPr>
          <w:rFonts w:hint="eastAsia" w:asciiTheme="minorEastAsia" w:hAnsiTheme="minorEastAsia" w:cstheme="minorEastAsia"/>
          <w:i w:val="0"/>
          <w:caps w:val="0"/>
          <w:color w:val="000000"/>
          <w:spacing w:val="10"/>
          <w:sz w:val="24"/>
          <w:szCs w:val="24"/>
          <w:highlight w:val="none"/>
          <w:u w:val="none"/>
          <w:lang w:val="en-US" w:eastAsia="zh-CN"/>
        </w:rPr>
        <w:t>56</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。按募集方式划分，公募理财产品</w:t>
      </w:r>
      <w:r>
        <w:rPr>
          <w:rFonts w:hint="eastAsia" w:asciiTheme="minorEastAsia" w:hAnsiTheme="minorEastAsia" w:cstheme="minorEastAsia"/>
          <w:i w:val="0"/>
          <w:caps w:val="0"/>
          <w:color w:val="000000"/>
          <w:spacing w:val="10"/>
          <w:sz w:val="24"/>
          <w:szCs w:val="24"/>
          <w:highlight w:val="none"/>
          <w:u w:val="none"/>
          <w:lang w:val="en-US" w:eastAsia="zh-CN"/>
        </w:rPr>
        <w:t>17</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2.50</w:t>
      </w:r>
      <w:r>
        <w:rPr>
          <w:rFonts w:hint="eastAsia" w:asciiTheme="minorEastAsia" w:hAnsiTheme="minorEastAsia" w:eastAsiaTheme="minorEastAsia" w:cstheme="minorEastAsia"/>
          <w:i w:val="0"/>
          <w:caps w:val="0"/>
          <w:color w:val="000000"/>
          <w:spacing w:val="10"/>
          <w:sz w:val="24"/>
          <w:szCs w:val="24"/>
          <w:highlight w:val="none"/>
          <w:u w:val="none"/>
        </w:rPr>
        <w:t>亿元；私募理财产品</w:t>
      </w:r>
      <w:r>
        <w:rPr>
          <w:rFonts w:hint="eastAsia" w:asciiTheme="minorEastAsia" w:hAnsiTheme="minorEastAsia" w:cstheme="minorEastAsia"/>
          <w:i w:val="0"/>
          <w:caps w:val="0"/>
          <w:color w:val="000000"/>
          <w:spacing w:val="10"/>
          <w:sz w:val="24"/>
          <w:szCs w:val="24"/>
          <w:highlight w:val="none"/>
          <w:u w:val="none"/>
          <w:lang w:val="en-US" w:eastAsia="zh-CN"/>
        </w:rPr>
        <w:t>39</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000000"/>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18.70</w:t>
      </w:r>
      <w:r>
        <w:rPr>
          <w:rFonts w:hint="eastAsia" w:asciiTheme="minorEastAsia" w:hAnsiTheme="minorEastAsia" w:eastAsiaTheme="minorEastAsia" w:cstheme="minorEastAsia"/>
          <w:i w:val="0"/>
          <w:caps w:val="0"/>
          <w:color w:val="000000"/>
          <w:spacing w:val="10"/>
          <w:sz w:val="24"/>
          <w:szCs w:val="24"/>
          <w:highlight w:val="none"/>
          <w:u w:val="none"/>
        </w:rPr>
        <w:t>亿元。</w:t>
      </w:r>
      <w:r>
        <w:rPr>
          <w:rFonts w:hint="eastAsia" w:asciiTheme="minorEastAsia" w:hAnsiTheme="minorEastAsia" w:eastAsiaTheme="minorEastAsia" w:cstheme="minorEastAsia"/>
          <w:i w:val="0"/>
          <w:caps w:val="0"/>
          <w:color w:val="auto"/>
          <w:spacing w:val="10"/>
          <w:sz w:val="24"/>
          <w:szCs w:val="24"/>
          <w:highlight w:val="none"/>
          <w:u w:val="none"/>
        </w:rPr>
        <w:t>按投资性质划分，固定收益类产品</w:t>
      </w:r>
      <w:r>
        <w:rPr>
          <w:rFonts w:hint="eastAsia" w:asciiTheme="minorEastAsia" w:hAnsiTheme="minorEastAsia" w:cstheme="minorEastAsia"/>
          <w:i w:val="0"/>
          <w:caps w:val="0"/>
          <w:color w:val="000000"/>
          <w:spacing w:val="10"/>
          <w:sz w:val="24"/>
          <w:szCs w:val="24"/>
          <w:highlight w:val="none"/>
          <w:u w:val="none"/>
          <w:lang w:val="en-US" w:eastAsia="zh-CN"/>
        </w:rPr>
        <w:t>56</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只</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cstheme="minorEastAsia"/>
          <w:i w:val="0"/>
          <w:caps w:val="0"/>
          <w:color w:val="000000"/>
          <w:spacing w:val="10"/>
          <w:sz w:val="24"/>
          <w:szCs w:val="24"/>
          <w:highlight w:val="none"/>
          <w:u w:val="none"/>
          <w:lang w:val="en-US" w:eastAsia="zh-CN"/>
        </w:rPr>
        <w:t>20.93</w:t>
      </w:r>
      <w:r>
        <w:rPr>
          <w:rFonts w:hint="eastAsia" w:asciiTheme="minorEastAsia" w:hAnsiTheme="minorEastAsia" w:eastAsiaTheme="minorEastAsia" w:cstheme="minorEastAsia"/>
          <w:i w:val="0"/>
          <w:caps w:val="0"/>
          <w:color w:val="auto"/>
          <w:spacing w:val="10"/>
          <w:sz w:val="24"/>
          <w:szCs w:val="24"/>
          <w:highlight w:val="none"/>
          <w:u w:val="none"/>
        </w:rPr>
        <w:t>亿元；权益类产品</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0只</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w:t>
      </w:r>
      <w:r>
        <w:rPr>
          <w:rFonts w:hint="eastAsia" w:asciiTheme="minorEastAsia" w:hAnsiTheme="minorEastAsia" w:cstheme="minorEastAsia"/>
          <w:i w:val="0"/>
          <w:caps w:val="0"/>
          <w:color w:val="000000"/>
          <w:spacing w:val="10"/>
          <w:sz w:val="24"/>
          <w:szCs w:val="24"/>
          <w:highlight w:val="none"/>
          <w:u w:val="none"/>
          <w:lang w:val="en-US" w:eastAsia="zh-CN"/>
        </w:rPr>
        <w:t>.00</w:t>
      </w:r>
      <w:r>
        <w:rPr>
          <w:rFonts w:hint="eastAsia" w:asciiTheme="minorEastAsia" w:hAnsiTheme="minorEastAsia" w:eastAsiaTheme="minorEastAsia" w:cstheme="minorEastAsia"/>
          <w:i w:val="0"/>
          <w:caps w:val="0"/>
          <w:color w:val="auto"/>
          <w:spacing w:val="10"/>
          <w:sz w:val="24"/>
          <w:szCs w:val="24"/>
          <w:highlight w:val="none"/>
          <w:u w:val="none"/>
        </w:rPr>
        <w:t>亿元；混合类产品</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0只</w:t>
      </w:r>
      <w:r>
        <w:rPr>
          <w:rFonts w:hint="eastAsia" w:asciiTheme="minorEastAsia" w:hAnsiTheme="minorEastAsia" w:eastAsiaTheme="minorEastAsia" w:cstheme="minorEastAsia"/>
          <w:i w:val="0"/>
          <w:caps w:val="0"/>
          <w:color w:val="auto"/>
          <w:spacing w:val="10"/>
          <w:sz w:val="24"/>
          <w:szCs w:val="24"/>
          <w:highlight w:val="none"/>
          <w:u w:val="none"/>
        </w:rPr>
        <w:t>，金额</w:t>
      </w:r>
      <w:r>
        <w:rPr>
          <w:rFonts w:hint="eastAsia" w:asciiTheme="minorEastAsia" w:hAnsiTheme="minorEastAsia" w:eastAsiaTheme="minorEastAsia" w:cstheme="minorEastAsia"/>
          <w:i w:val="0"/>
          <w:caps w:val="0"/>
          <w:color w:val="000000"/>
          <w:spacing w:val="10"/>
          <w:sz w:val="24"/>
          <w:szCs w:val="24"/>
          <w:highlight w:val="none"/>
          <w:u w:val="none"/>
          <w:lang w:val="en-US" w:eastAsia="zh-CN"/>
        </w:rPr>
        <w:t>0</w:t>
      </w:r>
      <w:r>
        <w:rPr>
          <w:rFonts w:hint="eastAsia" w:asciiTheme="minorEastAsia" w:hAnsiTheme="minorEastAsia" w:cstheme="minorEastAsia"/>
          <w:i w:val="0"/>
          <w:caps w:val="0"/>
          <w:color w:val="000000"/>
          <w:spacing w:val="10"/>
          <w:sz w:val="24"/>
          <w:szCs w:val="24"/>
          <w:highlight w:val="none"/>
          <w:u w:val="none"/>
          <w:lang w:val="en-US" w:eastAsia="zh-CN"/>
        </w:rPr>
        <w:t>.00</w:t>
      </w:r>
      <w:r>
        <w:rPr>
          <w:rFonts w:hint="eastAsia" w:asciiTheme="minorEastAsia" w:hAnsiTheme="minorEastAsia" w:eastAsiaTheme="minorEastAsia" w:cstheme="minorEastAsia"/>
          <w:i w:val="0"/>
          <w:caps w:val="0"/>
          <w:color w:val="auto"/>
          <w:spacing w:val="10"/>
          <w:sz w:val="24"/>
          <w:szCs w:val="24"/>
          <w:highlight w:val="none"/>
          <w:u w:val="none"/>
        </w:rPr>
        <w:t>亿元。</w:t>
      </w:r>
      <w:bookmarkStart w:id="1" w:name="_GoBack"/>
      <w:bookmarkEnd w:id="1"/>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line="480" w:lineRule="auto"/>
        <w:jc w:val="left"/>
        <w:textAlignment w:val="auto"/>
        <w:rPr>
          <w:rFonts w:hint="eastAsia" w:asciiTheme="minorEastAsia" w:hAnsiTheme="minorEastAsia" w:eastAsiaTheme="minorEastAsia" w:cstheme="minorEastAsia"/>
          <w:b/>
          <w:bCs/>
          <w:i w:val="0"/>
          <w:caps w:val="0"/>
          <w:color w:val="auto"/>
          <w:spacing w:val="10"/>
          <w:sz w:val="28"/>
          <w:szCs w:val="28"/>
          <w:highlight w:val="none"/>
          <w:u w:val="none"/>
          <w:lang w:val="en-US" w:eastAsia="zh-CN"/>
        </w:rPr>
      </w:pPr>
      <w:r>
        <w:rPr>
          <w:rFonts w:hint="eastAsia" w:asciiTheme="minorEastAsia" w:hAnsiTheme="minorEastAsia" w:eastAsiaTheme="minorEastAsia" w:cstheme="minorEastAsia"/>
          <w:b/>
          <w:bCs/>
          <w:i w:val="0"/>
          <w:caps w:val="0"/>
          <w:color w:val="auto"/>
          <w:spacing w:val="10"/>
          <w:sz w:val="28"/>
          <w:szCs w:val="28"/>
          <w:highlight w:val="none"/>
          <w:u w:val="none"/>
          <w:lang w:val="en-US" w:eastAsia="zh-CN"/>
        </w:rPr>
        <w:t>存续理财产品情况</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ind w:right="0" w:rightChars="0"/>
        <w:jc w:val="center"/>
        <w:textAlignment w:val="auto"/>
        <w:rPr>
          <w:rFonts w:hint="eastAsia" w:asciiTheme="minorEastAsia" w:hAnsiTheme="minorEastAsia" w:eastAsiaTheme="minorEastAsia" w:cstheme="minorEastAsia"/>
          <w:b/>
          <w:bCs/>
          <w:i w:val="0"/>
          <w:caps w:val="0"/>
          <w:color w:val="auto"/>
          <w:spacing w:val="10"/>
          <w:sz w:val="24"/>
          <w:szCs w:val="24"/>
          <w:highlight w:val="none"/>
          <w:u w:val="none"/>
          <w:lang w:val="en-US" w:eastAsia="zh-CN"/>
        </w:rPr>
      </w:pPr>
      <w:r>
        <w:rPr>
          <w:rFonts w:hint="eastAsia" w:asciiTheme="minorEastAsia" w:hAnsiTheme="minorEastAsia" w:eastAsiaTheme="minorEastAsia" w:cstheme="minorEastAsia"/>
          <w:b/>
          <w:bCs/>
          <w:i w:val="0"/>
          <w:caps w:val="0"/>
          <w:color w:val="auto"/>
          <w:spacing w:val="10"/>
          <w:sz w:val="24"/>
          <w:szCs w:val="24"/>
          <w:highlight w:val="none"/>
          <w:u w:val="none"/>
          <w:lang w:val="en-US" w:eastAsia="zh-CN"/>
        </w:rPr>
        <w:t>存续产品情况表</w:t>
      </w:r>
    </w:p>
    <w:tbl>
      <w:tblPr>
        <w:tblStyle w:val="6"/>
        <w:tblW w:w="86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72"/>
        <w:gridCol w:w="1752"/>
        <w:gridCol w:w="1065"/>
        <w:gridCol w:w="1080"/>
        <w:gridCol w:w="1125"/>
        <w:gridCol w:w="1200"/>
        <w:gridCol w:w="1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2924" w:type="dxa"/>
            <w:gridSpan w:val="2"/>
            <w:tcBorders>
              <w:top w:val="single" w:color="auto" w:sz="4" w:space="0"/>
              <w:left w:val="single" w:color="auto" w:sz="4" w:space="0"/>
              <w:bottom w:val="single" w:color="auto" w:sz="4" w:space="0"/>
              <w:right w:val="single" w:color="000000"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产品类别</w:t>
            </w:r>
          </w:p>
        </w:tc>
        <w:tc>
          <w:tcPr>
            <w:tcW w:w="1065"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数量（支）</w:t>
            </w:r>
          </w:p>
        </w:tc>
        <w:tc>
          <w:tcPr>
            <w:tcW w:w="1080"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金额（亿）</w:t>
            </w:r>
          </w:p>
        </w:tc>
        <w:tc>
          <w:tcPr>
            <w:tcW w:w="1125"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u w:val="none"/>
                <w:lang w:val="en-US" w:eastAsia="zh-CN" w:bidi="ar"/>
              </w:rPr>
              <w:t>占比</w:t>
            </w:r>
          </w:p>
        </w:tc>
        <w:tc>
          <w:tcPr>
            <w:tcW w:w="1200"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上期金额（亿）</w:t>
            </w:r>
          </w:p>
        </w:tc>
        <w:tc>
          <w:tcPr>
            <w:tcW w:w="1223" w:type="dxa"/>
            <w:tcBorders>
              <w:top w:val="single" w:color="auto" w:sz="4" w:space="0"/>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b/>
                <w:kern w:val="0"/>
                <w:sz w:val="24"/>
                <w:szCs w:val="24"/>
                <w:u w:val="none"/>
                <w:lang w:val="en-US" w:eastAsia="zh-CN" w:bidi="ar"/>
              </w:rPr>
            </w:pPr>
            <w:r>
              <w:rPr>
                <w:rFonts w:hint="eastAsia" w:asciiTheme="minorEastAsia" w:hAnsiTheme="minorEastAsia" w:eastAsiaTheme="minorEastAsia" w:cstheme="minorEastAsia"/>
                <w:b/>
                <w:kern w:val="0"/>
                <w:sz w:val="24"/>
                <w:szCs w:val="24"/>
                <w:u w:val="none"/>
                <w:lang w:val="en-US" w:eastAsia="zh-CN" w:bidi="ar"/>
              </w:rPr>
              <w:t>变化情况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72" w:type="dxa"/>
            <w:vMerge w:val="restart"/>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bookmarkStart w:id="0" w:name="OLE_LINK1" w:colFirst="3" w:colLast="5"/>
            <w:r>
              <w:rPr>
                <w:rFonts w:hint="eastAsia" w:asciiTheme="minorEastAsia" w:hAnsiTheme="minorEastAsia" w:eastAsiaTheme="minorEastAsia" w:cstheme="minorEastAsia"/>
                <w:b/>
                <w:color w:val="000000"/>
                <w:kern w:val="0"/>
                <w:sz w:val="24"/>
                <w:szCs w:val="24"/>
                <w:u w:val="none"/>
                <w:lang w:val="en-US" w:eastAsia="zh-CN" w:bidi="ar"/>
              </w:rPr>
              <w:t>按募集方式划分</w:t>
            </w: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公募理财产品</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u w:val="none"/>
                <w:lang w:val="en-US" w:eastAsia="zh-CN"/>
              </w:rPr>
            </w:pPr>
            <w:r>
              <w:rPr>
                <w:rFonts w:hint="eastAsia" w:asciiTheme="minorEastAsia" w:hAnsiTheme="minorEastAsia" w:cstheme="minorEastAsia"/>
                <w:i w:val="0"/>
                <w:iCs w:val="0"/>
                <w:color w:val="000000"/>
                <w:kern w:val="0"/>
                <w:sz w:val="24"/>
                <w:szCs w:val="24"/>
                <w:u w:val="none"/>
                <w:lang w:val="en-US" w:eastAsia="zh-CN" w:bidi="ar"/>
              </w:rPr>
              <w:t>34</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bidi="ar"/>
              </w:rPr>
            </w:pPr>
            <w:r>
              <w:rPr>
                <w:rFonts w:hint="eastAsia" w:asciiTheme="minorEastAsia" w:hAnsiTheme="minorEastAsia" w:cstheme="minorEastAsia"/>
                <w:i w:val="0"/>
                <w:iCs w:val="0"/>
                <w:color w:val="000000"/>
                <w:kern w:val="0"/>
                <w:sz w:val="24"/>
                <w:szCs w:val="24"/>
                <w:u w:val="none"/>
                <w:lang w:val="en-US" w:eastAsia="zh-CN" w:bidi="ar"/>
              </w:rPr>
              <w:t>208.43</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8</w:t>
            </w:r>
            <w:r>
              <w:rPr>
                <w:rFonts w:hint="eastAsia" w:asciiTheme="minorEastAsia" w:hAnsiTheme="minorEastAsia" w:cstheme="minorEastAsia"/>
                <w:i w:val="0"/>
                <w:iCs w:val="0"/>
                <w:color w:val="000000"/>
                <w:kern w:val="0"/>
                <w:sz w:val="24"/>
                <w:szCs w:val="24"/>
                <w:u w:val="none"/>
                <w:lang w:val="en-US" w:eastAsia="zh-CN" w:bidi="ar"/>
              </w:rPr>
              <w:t>5.39</w:t>
            </w:r>
            <w:r>
              <w:rPr>
                <w:rFonts w:hint="default" w:asciiTheme="minorEastAsia" w:hAnsiTheme="minorEastAsia" w:eastAsiaTheme="minorEastAsia" w:cstheme="minorEastAsia"/>
                <w:i w:val="0"/>
                <w:iCs w:val="0"/>
                <w:color w:val="000000"/>
                <w:kern w:val="0"/>
                <w:sz w:val="24"/>
                <w:szCs w:val="24"/>
                <w:u w:val="none"/>
                <w:lang w:val="en-US" w:eastAsia="zh-CN" w:bidi="ar"/>
              </w:rPr>
              <w:t>%</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208.28</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私募理财产品</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u w:val="none"/>
                <w:lang w:val="en-US" w:eastAsia="zh-CN"/>
              </w:rPr>
            </w:pPr>
            <w:r>
              <w:rPr>
                <w:rFonts w:hint="eastAsia" w:asciiTheme="minorEastAsia" w:hAnsiTheme="minorEastAsia" w:cstheme="minorEastAsia"/>
                <w:i w:val="0"/>
                <w:iCs w:val="0"/>
                <w:color w:val="000000"/>
                <w:kern w:val="0"/>
                <w:sz w:val="24"/>
                <w:szCs w:val="24"/>
                <w:u w:val="none"/>
                <w:lang w:val="en-US" w:eastAsia="zh-CN" w:bidi="ar"/>
              </w:rPr>
              <w:t>47</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3</w:t>
            </w:r>
            <w:r>
              <w:rPr>
                <w:rFonts w:hint="eastAsia" w:asciiTheme="minorEastAsia" w:hAnsiTheme="minorEastAsia" w:cstheme="minorEastAsia"/>
                <w:i w:val="0"/>
                <w:iCs w:val="0"/>
                <w:color w:val="000000"/>
                <w:kern w:val="0"/>
                <w:sz w:val="24"/>
                <w:szCs w:val="24"/>
                <w:u w:val="none"/>
                <w:lang w:val="en-US" w:eastAsia="zh-CN" w:bidi="ar"/>
              </w:rPr>
              <w:t>5.65</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1</w:t>
            </w:r>
            <w:r>
              <w:rPr>
                <w:rFonts w:hint="eastAsia" w:asciiTheme="minorEastAsia" w:hAnsiTheme="minorEastAsia" w:cstheme="minorEastAsia"/>
                <w:i w:val="0"/>
                <w:iCs w:val="0"/>
                <w:color w:val="000000"/>
                <w:kern w:val="0"/>
                <w:sz w:val="24"/>
                <w:szCs w:val="24"/>
                <w:u w:val="none"/>
                <w:lang w:val="en-US" w:eastAsia="zh-CN" w:bidi="ar"/>
              </w:rPr>
              <w:t>4</w:t>
            </w:r>
            <w:r>
              <w:rPr>
                <w:rFonts w:hint="default"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cstheme="minorEastAsia"/>
                <w:i w:val="0"/>
                <w:iCs w:val="0"/>
                <w:color w:val="000000"/>
                <w:kern w:val="0"/>
                <w:sz w:val="24"/>
                <w:szCs w:val="24"/>
                <w:u w:val="none"/>
                <w:lang w:val="en-US" w:eastAsia="zh-CN" w:bidi="ar"/>
              </w:rPr>
              <w:t>61</w:t>
            </w:r>
            <w:r>
              <w:rPr>
                <w:rFonts w:hint="default" w:asciiTheme="minorEastAsia" w:hAnsiTheme="minorEastAsia" w:eastAsiaTheme="minorEastAsia" w:cstheme="minorEastAsia"/>
                <w:i w:val="0"/>
                <w:iCs w:val="0"/>
                <w:color w:val="000000"/>
                <w:kern w:val="0"/>
                <w:sz w:val="24"/>
                <w:szCs w:val="24"/>
                <w:u w:val="none"/>
                <w:lang w:val="en-US" w:eastAsia="zh-CN" w:bidi="ar"/>
              </w:rPr>
              <w:t>%</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44.85</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cstheme="minorEastAsia"/>
                <w:i w:val="0"/>
                <w:iCs w:val="0"/>
                <w:color w:val="000000"/>
                <w:kern w:val="0"/>
                <w:sz w:val="24"/>
                <w:szCs w:val="24"/>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合计</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u w:val="none"/>
                <w:lang w:val="en-US" w:eastAsia="zh-CN"/>
              </w:rPr>
            </w:pPr>
            <w:r>
              <w:rPr>
                <w:rFonts w:hint="eastAsia" w:asciiTheme="minorEastAsia" w:hAnsiTheme="minorEastAsia" w:cstheme="minorEastAsia"/>
                <w:i w:val="0"/>
                <w:iCs w:val="0"/>
                <w:color w:val="000000"/>
                <w:kern w:val="0"/>
                <w:sz w:val="24"/>
                <w:szCs w:val="24"/>
                <w:u w:val="none"/>
                <w:lang w:val="en-US" w:eastAsia="zh-CN" w:bidi="ar"/>
              </w:rPr>
              <w:t>81</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w:t>
            </w:r>
            <w:r>
              <w:rPr>
                <w:rFonts w:hint="eastAsia" w:asciiTheme="minorEastAsia" w:hAnsiTheme="minorEastAsia" w:cstheme="minorEastAsia"/>
                <w:i w:val="0"/>
                <w:iCs w:val="0"/>
                <w:color w:val="000000"/>
                <w:kern w:val="0"/>
                <w:sz w:val="24"/>
                <w:szCs w:val="24"/>
                <w:u w:val="none"/>
                <w:lang w:val="en-US" w:eastAsia="zh-CN" w:bidi="ar"/>
              </w:rPr>
              <w:t>44.08</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100.00%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253.13</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cstheme="minorEastAsia"/>
                <w:i w:val="0"/>
                <w:iCs w:val="0"/>
                <w:color w:val="000000"/>
                <w:kern w:val="0"/>
                <w:sz w:val="24"/>
                <w:szCs w:val="24"/>
                <w:u w:val="none"/>
                <w:lang w:val="en-US" w:eastAsia="zh-CN" w:bidi="ar"/>
              </w:rPr>
              <w:t>9.05</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172" w:type="dxa"/>
            <w:vMerge w:val="restart"/>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color w:val="000000"/>
                <w:kern w:val="0"/>
                <w:sz w:val="24"/>
                <w:szCs w:val="24"/>
                <w:u w:val="none"/>
                <w:lang w:val="en-US" w:eastAsia="zh-CN" w:bidi="ar"/>
              </w:rPr>
              <w:t>按投资性质划分</w:t>
            </w: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固定收益类</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u w:val="none"/>
                <w:lang w:val="en-US" w:eastAsia="zh-CN"/>
              </w:rPr>
            </w:pPr>
            <w:r>
              <w:rPr>
                <w:rFonts w:hint="eastAsia" w:asciiTheme="minorEastAsia" w:hAnsiTheme="minorEastAsia" w:cstheme="minorEastAsia"/>
                <w:i w:val="0"/>
                <w:iCs w:val="0"/>
                <w:color w:val="000000"/>
                <w:kern w:val="0"/>
                <w:sz w:val="24"/>
                <w:szCs w:val="24"/>
                <w:u w:val="none"/>
                <w:lang w:val="en-US" w:eastAsia="zh-CN" w:bidi="ar"/>
              </w:rPr>
              <w:t>81</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w:t>
            </w:r>
            <w:r>
              <w:rPr>
                <w:rFonts w:hint="eastAsia" w:asciiTheme="minorEastAsia" w:hAnsiTheme="minorEastAsia" w:cstheme="minorEastAsia"/>
                <w:i w:val="0"/>
                <w:iCs w:val="0"/>
                <w:color w:val="000000"/>
                <w:kern w:val="0"/>
                <w:sz w:val="24"/>
                <w:szCs w:val="24"/>
                <w:u w:val="none"/>
                <w:lang w:val="en-US" w:eastAsia="zh-CN" w:bidi="ar"/>
              </w:rPr>
              <w:t>44.08</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100.00%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253.13</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cstheme="minorEastAsia"/>
                <w:i w:val="0"/>
                <w:iCs w:val="0"/>
                <w:color w:val="000000"/>
                <w:kern w:val="0"/>
                <w:sz w:val="24"/>
                <w:szCs w:val="24"/>
                <w:u w:val="none"/>
                <w:lang w:val="en-US" w:eastAsia="zh-CN" w:bidi="ar"/>
              </w:rPr>
              <w:t>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权益类</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0</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商品及金融衍生品类</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0</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混合类</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0</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1172" w:type="dxa"/>
            <w:vMerge w:val="continue"/>
            <w:tcBorders>
              <w:top w:val="nil"/>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rPr>
                <w:rFonts w:hint="eastAsia" w:asciiTheme="minorEastAsia" w:hAnsiTheme="minorEastAsia" w:eastAsiaTheme="minorEastAsia" w:cstheme="minorEastAsia"/>
                <w:sz w:val="24"/>
                <w:szCs w:val="24"/>
                <w:u w:val="none"/>
              </w:rPr>
            </w:pPr>
          </w:p>
        </w:tc>
        <w:tc>
          <w:tcPr>
            <w:tcW w:w="1752"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合计</w:t>
            </w:r>
          </w:p>
        </w:tc>
        <w:tc>
          <w:tcPr>
            <w:tcW w:w="106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u w:val="none"/>
                <w:lang w:val="en-US"/>
              </w:rPr>
            </w:pPr>
            <w:r>
              <w:rPr>
                <w:rFonts w:hint="eastAsia" w:asciiTheme="minorEastAsia" w:hAnsiTheme="minorEastAsia" w:cstheme="minorEastAsia"/>
                <w:i w:val="0"/>
                <w:iCs w:val="0"/>
                <w:color w:val="000000"/>
                <w:kern w:val="0"/>
                <w:sz w:val="24"/>
                <w:szCs w:val="24"/>
                <w:u w:val="none"/>
                <w:lang w:val="en-US" w:eastAsia="zh-CN" w:bidi="ar"/>
              </w:rPr>
              <w:t>81</w:t>
            </w:r>
          </w:p>
        </w:tc>
        <w:tc>
          <w:tcPr>
            <w:tcW w:w="108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2</w:t>
            </w:r>
            <w:r>
              <w:rPr>
                <w:rFonts w:hint="eastAsia" w:asciiTheme="minorEastAsia" w:hAnsiTheme="minorEastAsia" w:cstheme="minorEastAsia"/>
                <w:i w:val="0"/>
                <w:iCs w:val="0"/>
                <w:color w:val="000000"/>
                <w:kern w:val="0"/>
                <w:sz w:val="24"/>
                <w:szCs w:val="24"/>
                <w:u w:val="none"/>
                <w:lang w:val="en-US" w:eastAsia="zh-CN" w:bidi="ar"/>
              </w:rPr>
              <w:t>44.08</w:t>
            </w:r>
          </w:p>
        </w:tc>
        <w:tc>
          <w:tcPr>
            <w:tcW w:w="1125"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100.00%</w:t>
            </w:r>
          </w:p>
        </w:tc>
        <w:tc>
          <w:tcPr>
            <w:tcW w:w="1200"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4"/>
                <w:szCs w:val="24"/>
                <w:u w:val="none"/>
                <w:lang w:bidi="ar"/>
              </w:rPr>
            </w:pPr>
            <w:r>
              <w:rPr>
                <w:rFonts w:hint="default" w:asciiTheme="minorEastAsia" w:hAnsiTheme="minorEastAsia" w:eastAsiaTheme="minorEastAsia" w:cstheme="minorEastAsia"/>
                <w:i w:val="0"/>
                <w:iCs w:val="0"/>
                <w:color w:val="000000"/>
                <w:kern w:val="0"/>
                <w:sz w:val="24"/>
                <w:szCs w:val="24"/>
                <w:u w:val="none"/>
                <w:lang w:val="en-US" w:eastAsia="zh-CN" w:bidi="ar"/>
              </w:rPr>
              <w:t>253.13</w:t>
            </w:r>
          </w:p>
        </w:tc>
        <w:tc>
          <w:tcPr>
            <w:tcW w:w="1223" w:type="dxa"/>
            <w:tcBorders>
              <w:top w:val="nil"/>
              <w:left w:val="nil"/>
              <w:bottom w:val="single" w:color="auto" w:sz="4" w:space="0"/>
              <w:right w:val="single" w:color="auto" w:sz="4" w:space="0"/>
            </w:tcBorders>
            <w:shd w:val="clear" w:color="auto" w:fill="auto"/>
            <w:tcMar>
              <w:top w:w="0" w:type="dxa"/>
              <w:left w:w="108" w:type="dxa"/>
              <w:bottom w:w="0" w:type="dxa"/>
              <w:right w:w="108"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cstheme="minorEastAsia"/>
                <w:i w:val="0"/>
                <w:iCs w:val="0"/>
                <w:color w:val="000000"/>
                <w:kern w:val="0"/>
                <w:sz w:val="24"/>
                <w:szCs w:val="24"/>
                <w:u w:val="none"/>
                <w:lang w:val="en-US" w:eastAsia="zh-CN" w:bidi="ar"/>
              </w:rPr>
              <w:t>9.05</w:t>
            </w:r>
          </w:p>
        </w:tc>
      </w:tr>
    </w:tbl>
    <w:p>
      <w:pPr>
        <w:rPr>
          <w:rFonts w:hint="eastAsia" w:asciiTheme="minorEastAsia" w:hAnsiTheme="minorEastAsia" w:eastAsiaTheme="minorEastAsia" w:cstheme="minorEastAsia"/>
          <w:i w:val="0"/>
          <w:caps w:val="0"/>
          <w:color w:val="000000"/>
          <w:spacing w:val="10"/>
          <w:kern w:val="0"/>
          <w:sz w:val="24"/>
          <w:szCs w:val="24"/>
          <w:u w:val="none"/>
          <w:lang w:val="en-US" w:eastAsia="zh-CN" w:bidi="ar"/>
        </w:rPr>
      </w:pPr>
      <w:r>
        <w:rPr>
          <w:rFonts w:hint="eastAsia" w:asciiTheme="minorEastAsia" w:hAnsiTheme="minorEastAsia" w:eastAsiaTheme="minorEastAsia" w:cstheme="minorEastAsia"/>
          <w:i w:val="0"/>
          <w:caps w:val="0"/>
          <w:color w:val="000000"/>
          <w:spacing w:val="10"/>
          <w:kern w:val="0"/>
          <w:sz w:val="24"/>
          <w:szCs w:val="24"/>
          <w:u w:val="none"/>
          <w:lang w:val="en-US" w:eastAsia="zh-CN" w:bidi="ar"/>
        </w:rPr>
        <w:br w:type="page"/>
      </w: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80" w:lineRule="auto"/>
        <w:jc w:val="left"/>
        <w:textAlignment w:val="auto"/>
        <w:rPr>
          <w:rFonts w:hint="eastAsia" w:asciiTheme="minorEastAsia" w:hAnsiTheme="minorEastAsia" w:eastAsiaTheme="minorEastAsia" w:cstheme="minorEastAsia"/>
          <w:i w:val="0"/>
          <w:caps w:val="0"/>
          <w:color w:val="000000"/>
          <w:spacing w:val="10"/>
          <w:kern w:val="0"/>
          <w:sz w:val="24"/>
          <w:szCs w:val="24"/>
          <w:u w:val="none"/>
          <w:lang w:val="en-US" w:eastAsia="zh-CN" w:bidi="ar"/>
        </w:rPr>
      </w:pPr>
      <w:r>
        <w:rPr>
          <w:rFonts w:hint="eastAsia" w:asciiTheme="minorEastAsia" w:hAnsiTheme="minorEastAsia" w:eastAsiaTheme="minorEastAsia" w:cstheme="minorEastAsia"/>
          <w:b/>
          <w:bCs/>
          <w:i w:val="0"/>
          <w:caps w:val="0"/>
          <w:color w:val="auto"/>
          <w:spacing w:val="10"/>
          <w:sz w:val="28"/>
          <w:szCs w:val="28"/>
          <w:highlight w:val="none"/>
          <w:u w:val="none"/>
          <w:lang w:val="en-US" w:eastAsia="zh-CN"/>
        </w:rPr>
        <w:t>理财投资资产情况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48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caps w:val="0"/>
          <w:color w:val="000000"/>
          <w:spacing w:val="10"/>
          <w:kern w:val="0"/>
          <w:sz w:val="24"/>
          <w:szCs w:val="24"/>
          <w:u w:val="none"/>
          <w:lang w:val="en-US" w:eastAsia="zh-CN" w:bidi="ar"/>
        </w:rPr>
        <w:t>（一）</w:t>
      </w:r>
      <w:r>
        <w:rPr>
          <w:rStyle w:val="8"/>
          <w:rFonts w:hint="eastAsia" w:asciiTheme="minorEastAsia" w:hAnsiTheme="minorEastAsia" w:eastAsiaTheme="minorEastAsia" w:cstheme="minorEastAsia"/>
          <w:i w:val="0"/>
          <w:caps w:val="0"/>
          <w:color w:val="000000"/>
          <w:spacing w:val="10"/>
          <w:sz w:val="24"/>
          <w:szCs w:val="24"/>
          <w:u w:val="none"/>
        </w:rPr>
        <w:t>理财业务</w:t>
      </w:r>
      <w:r>
        <w:rPr>
          <w:rStyle w:val="8"/>
          <w:rFonts w:hint="eastAsia" w:asciiTheme="minorEastAsia" w:hAnsiTheme="minorEastAsia" w:eastAsiaTheme="minorEastAsia" w:cstheme="minorEastAsia"/>
          <w:i w:val="0"/>
          <w:caps w:val="0"/>
          <w:color w:val="000000"/>
          <w:spacing w:val="10"/>
          <w:sz w:val="24"/>
          <w:szCs w:val="24"/>
          <w:u w:val="none"/>
          <w:lang w:eastAsia="zh-CN"/>
        </w:rPr>
        <w:t>直接</w:t>
      </w:r>
      <w:r>
        <w:rPr>
          <w:rStyle w:val="8"/>
          <w:rFonts w:hint="eastAsia" w:asciiTheme="minorEastAsia" w:hAnsiTheme="minorEastAsia" w:eastAsiaTheme="minorEastAsia" w:cstheme="minorEastAsia"/>
          <w:i w:val="0"/>
          <w:caps w:val="0"/>
          <w:color w:val="000000"/>
          <w:spacing w:val="10"/>
          <w:sz w:val="24"/>
          <w:szCs w:val="24"/>
          <w:u w:val="none"/>
        </w:rPr>
        <w:t>投资情况表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480" w:lineRule="auto"/>
        <w:ind w:firstLine="261" w:firstLineChars="100"/>
        <w:jc w:val="both"/>
        <w:textAlignment w:val="auto"/>
        <w:rPr>
          <w:rStyle w:val="8"/>
          <w:rFonts w:hint="eastAsia" w:asciiTheme="minorEastAsia" w:hAnsiTheme="minorEastAsia" w:eastAsiaTheme="minorEastAsia" w:cstheme="minorEastAsia"/>
          <w:i w:val="0"/>
          <w:caps w:val="0"/>
          <w:color w:val="000000"/>
          <w:spacing w:val="10"/>
          <w:sz w:val="24"/>
          <w:szCs w:val="24"/>
          <w:u w:val="none"/>
          <w:lang w:val="en-US" w:eastAsia="zh-CN"/>
        </w:rPr>
      </w:pPr>
      <w:r>
        <w:rPr>
          <w:rStyle w:val="8"/>
          <w:rFonts w:hint="eastAsia" w:asciiTheme="minorEastAsia" w:hAnsiTheme="minorEastAsia" w:eastAsiaTheme="minorEastAsia" w:cstheme="minorEastAsia"/>
          <w:i w:val="0"/>
          <w:caps w:val="0"/>
          <w:color w:val="000000"/>
          <w:spacing w:val="10"/>
          <w:sz w:val="24"/>
          <w:szCs w:val="24"/>
          <w:u w:val="none"/>
          <w:lang w:val="en-US" w:eastAsia="zh-CN"/>
        </w:rPr>
        <w:t>单位：万元</w:t>
      </w:r>
    </w:p>
    <w:tbl>
      <w:tblPr>
        <w:tblStyle w:val="6"/>
        <w:tblW w:w="80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977"/>
        <w:gridCol w:w="3300"/>
        <w:gridCol w:w="18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2977" w:type="dxa"/>
            <w:tcBorders>
              <w:top w:val="single" w:color="auto" w:sz="8"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资产类别</w:t>
            </w:r>
          </w:p>
        </w:tc>
        <w:tc>
          <w:tcPr>
            <w:tcW w:w="3300"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持有金额</w:t>
            </w:r>
          </w:p>
        </w:tc>
        <w:tc>
          <w:tcPr>
            <w:tcW w:w="1807"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占全部产品总资产的比例（%）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现金及银行存款</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262,246.24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同业存单</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141,529.62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拆放同业及买入返售</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140,607.16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债券</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350,208.32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非标准化债权类资产</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148,862.97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代客境外理财投资QDII</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447</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 xml:space="preserve">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公募基金</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06</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868</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 xml:space="preserve">4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2977"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lang w:eastAsia="zh-CN"/>
              </w:rPr>
            </w:pPr>
            <w:r>
              <w:rPr>
                <w:rFonts w:hint="eastAsia" w:asciiTheme="minorEastAsia" w:hAnsiTheme="minorEastAsia" w:eastAsiaTheme="minorEastAsia" w:cstheme="minorEastAsia"/>
                <w:sz w:val="24"/>
                <w:szCs w:val="24"/>
                <w:u w:val="none"/>
                <w:lang w:eastAsia="zh-CN"/>
              </w:rPr>
              <w:t>资产管理产品</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1,091,642.</w:t>
            </w:r>
            <w:r>
              <w:rPr>
                <w:rFonts w:hint="eastAsia" w:ascii="宋体" w:hAnsi="宋体" w:eastAsia="宋体" w:cs="宋体"/>
                <w:i w:val="0"/>
                <w:iCs w:val="0"/>
                <w:color w:val="000000"/>
                <w:kern w:val="0"/>
                <w:sz w:val="24"/>
                <w:szCs w:val="24"/>
                <w:u w:val="none"/>
                <w:lang w:val="en-US" w:eastAsia="zh-CN" w:bidi="ar"/>
              </w:rPr>
              <w:t>62</w:t>
            </w:r>
            <w:r>
              <w:rPr>
                <w:rFonts w:hint="eastAsia" w:ascii="宋体" w:hAnsi="宋体" w:eastAsia="宋体" w:cs="宋体"/>
                <w:i w:val="0"/>
                <w:iCs w:val="0"/>
                <w:color w:val="000000"/>
                <w:kern w:val="0"/>
                <w:sz w:val="24"/>
                <w:szCs w:val="24"/>
                <w:u w:val="none"/>
                <w:lang w:val="en-US" w:eastAsia="zh-CN" w:bidi="ar"/>
              </w:rPr>
              <w:t xml:space="preserve"> </w:t>
            </w:r>
          </w:p>
        </w:tc>
        <w:tc>
          <w:tcPr>
            <w:tcW w:w="1807"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bottom"/>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jc w:val="center"/>
        </w:trPr>
        <w:tc>
          <w:tcPr>
            <w:tcW w:w="2977" w:type="dxa"/>
            <w:tcBorders>
              <w:top w:val="nil"/>
              <w:left w:val="single" w:color="auto" w:sz="8" w:space="0"/>
              <w:bottom w:val="single" w:color="auto" w:sz="8"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合计</w:t>
            </w:r>
          </w:p>
        </w:tc>
        <w:tc>
          <w:tcPr>
            <w:tcW w:w="3300"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2,456,412.</w:t>
            </w:r>
            <w:r>
              <w:rPr>
                <w:rFonts w:hint="eastAsia" w:ascii="宋体" w:hAnsi="宋体" w:eastAsia="宋体" w:cs="宋体"/>
                <w:i w:val="0"/>
                <w:iCs w:val="0"/>
                <w:color w:val="000000"/>
                <w:kern w:val="0"/>
                <w:sz w:val="24"/>
                <w:szCs w:val="24"/>
                <w:u w:val="none"/>
                <w:lang w:val="en-US" w:eastAsia="zh-CN" w:bidi="ar"/>
              </w:rPr>
              <w:t>57</w:t>
            </w:r>
            <w:r>
              <w:rPr>
                <w:rFonts w:hint="eastAsia" w:ascii="宋体" w:hAnsi="宋体" w:eastAsia="宋体" w:cs="宋体"/>
                <w:i w:val="0"/>
                <w:iCs w:val="0"/>
                <w:color w:val="000000"/>
                <w:kern w:val="0"/>
                <w:sz w:val="24"/>
                <w:szCs w:val="24"/>
                <w:u w:val="none"/>
                <w:lang w:val="en-US" w:eastAsia="zh-CN" w:bidi="ar"/>
              </w:rPr>
              <w:t xml:space="preserve"> </w:t>
            </w:r>
          </w:p>
        </w:tc>
        <w:tc>
          <w:tcPr>
            <w:tcW w:w="18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heme="minorEastAsia" w:hAnsiTheme="minorEastAsia" w:eastAsiaTheme="minorEastAsia" w:cstheme="minorEastAsia"/>
          <w:i w:val="0"/>
          <w:caps w:val="0"/>
          <w:color w:val="000000"/>
          <w:spacing w:val="10"/>
          <w:kern w:val="0"/>
          <w:sz w:val="24"/>
          <w:szCs w:val="24"/>
          <w:u w:val="none"/>
          <w:lang w:val="en-US" w:eastAsia="zh-CN" w:bidi="ar"/>
        </w:rPr>
      </w:pPr>
    </w:p>
    <w:p>
      <w:pPr>
        <w:keepNext w:val="0"/>
        <w:keepLines w:val="0"/>
        <w:pageBreakBefore w:val="0"/>
        <w:widowControl w:val="0"/>
        <w:numPr>
          <w:ilvl w:val="0"/>
          <w:numId w:val="2"/>
        </w:numPr>
        <w:kinsoku/>
        <w:wordWrap/>
        <w:overflowPunct/>
        <w:topLinePunct w:val="0"/>
        <w:autoSpaceDE/>
        <w:autoSpaceDN/>
        <w:bidi w:val="0"/>
        <w:adjustRightInd/>
        <w:snapToGrid/>
        <w:spacing w:line="480" w:lineRule="auto"/>
        <w:jc w:val="both"/>
        <w:textAlignment w:val="auto"/>
        <w:rPr>
          <w:rStyle w:val="8"/>
          <w:rFonts w:hint="eastAsia" w:asciiTheme="minorEastAsia" w:hAnsiTheme="minorEastAsia" w:eastAsiaTheme="minorEastAsia" w:cstheme="minorEastAsia"/>
          <w:i w:val="0"/>
          <w:caps w:val="0"/>
          <w:color w:val="000000"/>
          <w:spacing w:val="10"/>
          <w:sz w:val="24"/>
          <w:szCs w:val="24"/>
          <w:u w:val="none"/>
          <w:lang w:val="en-US" w:eastAsia="zh-CN"/>
        </w:rPr>
      </w:pPr>
      <w:r>
        <w:rPr>
          <w:rStyle w:val="8"/>
          <w:rFonts w:hint="eastAsia" w:asciiTheme="minorEastAsia" w:hAnsiTheme="minorEastAsia" w:eastAsiaTheme="minorEastAsia" w:cstheme="minorEastAsia"/>
          <w:i w:val="0"/>
          <w:caps w:val="0"/>
          <w:color w:val="000000"/>
          <w:spacing w:val="10"/>
          <w:sz w:val="24"/>
          <w:szCs w:val="24"/>
          <w:u w:val="none"/>
          <w:lang w:val="en-US" w:eastAsia="zh-CN"/>
        </w:rPr>
        <w:t>理财业务间接投资情况表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261" w:firstLineChars="100"/>
        <w:jc w:val="both"/>
        <w:textAlignment w:val="auto"/>
        <w:rPr>
          <w:rStyle w:val="8"/>
          <w:rFonts w:hint="eastAsia" w:asciiTheme="minorEastAsia" w:hAnsiTheme="minorEastAsia" w:eastAsiaTheme="minorEastAsia" w:cstheme="minorEastAsia"/>
          <w:i w:val="0"/>
          <w:caps w:val="0"/>
          <w:color w:val="000000"/>
          <w:spacing w:val="10"/>
          <w:sz w:val="24"/>
          <w:szCs w:val="24"/>
          <w:u w:val="none"/>
          <w:lang w:val="en-US" w:eastAsia="zh-CN"/>
        </w:rPr>
      </w:pPr>
      <w:r>
        <w:rPr>
          <w:rStyle w:val="8"/>
          <w:rFonts w:hint="eastAsia" w:asciiTheme="minorEastAsia" w:hAnsiTheme="minorEastAsia" w:eastAsiaTheme="minorEastAsia" w:cstheme="minorEastAsia"/>
          <w:i w:val="0"/>
          <w:caps w:val="0"/>
          <w:color w:val="000000"/>
          <w:spacing w:val="10"/>
          <w:sz w:val="24"/>
          <w:szCs w:val="24"/>
          <w:u w:val="none"/>
          <w:lang w:val="en-US" w:eastAsia="zh-CN"/>
        </w:rPr>
        <w:t>单位：万元</w:t>
      </w:r>
    </w:p>
    <w:tbl>
      <w:tblPr>
        <w:tblStyle w:val="6"/>
        <w:tblW w:w="79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868"/>
        <w:gridCol w:w="3300"/>
        <w:gridCol w:w="1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2868" w:type="dxa"/>
            <w:tcBorders>
              <w:top w:val="single" w:color="auto" w:sz="8"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资产类别</w:t>
            </w:r>
          </w:p>
        </w:tc>
        <w:tc>
          <w:tcPr>
            <w:tcW w:w="3300"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持有金额</w:t>
            </w:r>
          </w:p>
        </w:tc>
        <w:tc>
          <w:tcPr>
            <w:tcW w:w="1830"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center"/>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kern w:val="0"/>
                <w:sz w:val="24"/>
                <w:szCs w:val="24"/>
                <w:u w:val="none"/>
                <w:lang w:val="en-US" w:eastAsia="zh-CN" w:bidi="ar"/>
              </w:rPr>
              <w:t>占全部产品总资产的比例（%）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现金及银行存款</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436,837.64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同业存单</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151,450.80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拆放同业及买入返售</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206,896.06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债券</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1,112,152.73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非标准化债权类资产</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148,862.97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代客境外理财投资QDII</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18,131.64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868"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公募基金</w:t>
            </w:r>
          </w:p>
        </w:tc>
        <w:tc>
          <w:tcPr>
            <w:tcW w:w="3300"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401,654.74 </w:t>
            </w:r>
          </w:p>
        </w:tc>
        <w:tc>
          <w:tcPr>
            <w:tcW w:w="183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jc w:val="center"/>
        </w:trPr>
        <w:tc>
          <w:tcPr>
            <w:tcW w:w="2868" w:type="dxa"/>
            <w:tcBorders>
              <w:top w:val="nil"/>
              <w:left w:val="single" w:color="auto" w:sz="8" w:space="0"/>
              <w:bottom w:val="single" w:color="auto" w:sz="8"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spacing w:before="0" w:beforeAutospacing="1" w:after="0" w:afterAutospacing="1" w:line="270" w:lineRule="atLeast"/>
              <w:ind w:left="0" w:right="0"/>
              <w:jc w:val="left"/>
              <w:rPr>
                <w:rFonts w:hint="eastAsia" w:asciiTheme="minorEastAsia" w:hAnsiTheme="minorEastAsia" w:eastAsiaTheme="minorEastAsia" w:cstheme="minorEastAsia"/>
                <w:kern w:val="0"/>
                <w:sz w:val="24"/>
                <w:szCs w:val="24"/>
                <w:u w:val="none"/>
                <w:lang w:val="en-US" w:eastAsia="zh-CN" w:bidi="ar"/>
              </w:rPr>
            </w:pPr>
            <w:r>
              <w:rPr>
                <w:rFonts w:hint="eastAsia" w:asciiTheme="minorEastAsia" w:hAnsiTheme="minorEastAsia" w:eastAsiaTheme="minorEastAsia" w:cstheme="minorEastAsia"/>
                <w:kern w:val="0"/>
                <w:sz w:val="24"/>
                <w:szCs w:val="24"/>
                <w:u w:val="none"/>
                <w:lang w:val="en-US" w:eastAsia="zh-CN" w:bidi="ar"/>
              </w:rPr>
              <w:t>合计</w:t>
            </w:r>
          </w:p>
        </w:tc>
        <w:tc>
          <w:tcPr>
            <w:tcW w:w="3300"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2,475,986.59 </w:t>
            </w:r>
          </w:p>
        </w:tc>
        <w:tc>
          <w:tcPr>
            <w:tcW w:w="183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heme="minorEastAsia" w:hAnsiTheme="minorEastAsia" w:eastAsiaTheme="minorEastAsia" w:cstheme="minorEastAsia"/>
          <w:i w:val="0"/>
          <w:caps w:val="0"/>
          <w:color w:val="000000"/>
          <w:spacing w:val="10"/>
          <w:kern w:val="0"/>
          <w:sz w:val="24"/>
          <w:szCs w:val="24"/>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heme="minorEastAsia" w:hAnsiTheme="minorEastAsia" w:eastAsiaTheme="minorEastAsia" w:cstheme="minorEastAsia"/>
          <w:b/>
          <w:bCs/>
          <w:i w:val="0"/>
          <w:caps w:val="0"/>
          <w:color w:val="000000"/>
          <w:spacing w:val="10"/>
          <w:kern w:val="0"/>
          <w:sz w:val="24"/>
          <w:szCs w:val="24"/>
          <w:u w:val="none"/>
          <w:lang w:val="en-US" w:eastAsia="zh-CN" w:bidi="ar"/>
        </w:rPr>
      </w:pPr>
      <w:r>
        <w:rPr>
          <w:rFonts w:hint="eastAsia" w:asciiTheme="minorEastAsia" w:hAnsiTheme="minorEastAsia" w:eastAsiaTheme="minorEastAsia" w:cstheme="minorEastAsia"/>
          <w:b/>
          <w:bCs/>
          <w:i w:val="0"/>
          <w:caps w:val="0"/>
          <w:color w:val="000000"/>
          <w:spacing w:val="10"/>
          <w:kern w:val="0"/>
          <w:sz w:val="24"/>
          <w:szCs w:val="24"/>
          <w:u w:val="none"/>
          <w:lang w:val="en-US" w:eastAsia="zh-CN" w:bidi="ar"/>
        </w:rPr>
        <w:t>注：本报告是为投资者提供本产品运作情况的参考资料网站公布数据仅供参考，交易数据以实际网点公布为准。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right"/>
        <w:textAlignment w:val="auto"/>
        <w:rPr>
          <w:rFonts w:hint="eastAsia" w:asciiTheme="minorEastAsia" w:hAnsiTheme="minorEastAsia" w:eastAsiaTheme="minorEastAsia" w:cstheme="minorEastAsia"/>
          <w:i w:val="0"/>
          <w:caps w:val="0"/>
          <w:color w:val="000000"/>
          <w:spacing w:val="10"/>
          <w:kern w:val="0"/>
          <w:sz w:val="24"/>
          <w:szCs w:val="24"/>
          <w:u w:val="none"/>
          <w:lang w:val="en-US" w:eastAsia="zh-CN" w:bidi="ar"/>
        </w:rPr>
      </w:pPr>
      <w:r>
        <w:rPr>
          <w:rFonts w:hint="eastAsia" w:asciiTheme="minorEastAsia" w:hAnsiTheme="minorEastAsia" w:eastAsiaTheme="minorEastAsia" w:cstheme="minorEastAsia"/>
          <w:i w:val="0"/>
          <w:caps w:val="0"/>
          <w:color w:val="000000"/>
          <w:spacing w:val="10"/>
          <w:kern w:val="0"/>
          <w:sz w:val="24"/>
          <w:szCs w:val="24"/>
          <w:u w:val="none"/>
          <w:lang w:val="en-US" w:eastAsia="zh-CN" w:bidi="ar"/>
        </w:rPr>
        <w:t>东莞银行股份有限公司</w:t>
      </w:r>
    </w:p>
    <w:p>
      <w:pPr>
        <w:numPr>
          <w:ilvl w:val="0"/>
          <w:numId w:val="0"/>
        </w:numPr>
        <w:spacing w:line="480" w:lineRule="auto"/>
        <w:jc w:val="right"/>
      </w:pPr>
      <w:r>
        <w:rPr>
          <w:rFonts w:hint="eastAsia" w:asciiTheme="minorEastAsia" w:hAnsiTheme="minorEastAsia" w:eastAsiaTheme="minorEastAsia" w:cstheme="minorEastAsia"/>
          <w:i w:val="0"/>
          <w:caps w:val="0"/>
          <w:color w:val="000000"/>
          <w:spacing w:val="10"/>
          <w:kern w:val="0"/>
          <w:sz w:val="24"/>
          <w:szCs w:val="24"/>
          <w:u w:val="none"/>
          <w:lang w:val="en-US" w:eastAsia="zh-CN" w:bidi="ar"/>
        </w:rPr>
        <w:t>202</w:t>
      </w:r>
      <w:r>
        <w:rPr>
          <w:rFonts w:hint="eastAsia" w:asciiTheme="minorEastAsia" w:hAnsiTheme="minorEastAsia" w:cstheme="minorEastAsia"/>
          <w:i w:val="0"/>
          <w:caps w:val="0"/>
          <w:color w:val="000000"/>
          <w:spacing w:val="10"/>
          <w:kern w:val="0"/>
          <w:sz w:val="24"/>
          <w:szCs w:val="24"/>
          <w:u w:val="none"/>
          <w:lang w:val="en-US" w:eastAsia="zh-CN" w:bidi="ar"/>
        </w:rPr>
        <w:t>6</w:t>
      </w:r>
      <w:r>
        <w:rPr>
          <w:rFonts w:hint="eastAsia" w:asciiTheme="minorEastAsia" w:hAnsiTheme="minorEastAsia" w:eastAsiaTheme="minorEastAsia" w:cstheme="minorEastAsia"/>
          <w:i w:val="0"/>
          <w:caps w:val="0"/>
          <w:color w:val="000000"/>
          <w:spacing w:val="10"/>
          <w:kern w:val="0"/>
          <w:sz w:val="24"/>
          <w:szCs w:val="24"/>
          <w:u w:val="none"/>
          <w:lang w:val="en-US" w:eastAsia="zh-CN" w:bidi="ar"/>
        </w:rPr>
        <w:t>年0</w:t>
      </w:r>
      <w:r>
        <w:rPr>
          <w:rFonts w:hint="eastAsia" w:asciiTheme="minorEastAsia" w:hAnsiTheme="minorEastAsia" w:cstheme="minorEastAsia"/>
          <w:i w:val="0"/>
          <w:caps w:val="0"/>
          <w:color w:val="000000"/>
          <w:spacing w:val="10"/>
          <w:kern w:val="0"/>
          <w:sz w:val="24"/>
          <w:szCs w:val="24"/>
          <w:u w:val="none"/>
          <w:lang w:val="en-US" w:eastAsia="zh-CN" w:bidi="ar"/>
        </w:rPr>
        <w:t>7</w:t>
      </w:r>
      <w:r>
        <w:rPr>
          <w:rFonts w:hint="eastAsia" w:asciiTheme="minorEastAsia" w:hAnsiTheme="minorEastAsia" w:eastAsiaTheme="minorEastAsia" w:cstheme="minorEastAsia"/>
          <w:i w:val="0"/>
          <w:caps w:val="0"/>
          <w:color w:val="000000"/>
          <w:spacing w:val="10"/>
          <w:kern w:val="0"/>
          <w:sz w:val="24"/>
          <w:szCs w:val="24"/>
          <w:u w:val="none"/>
          <w:lang w:val="en-US" w:eastAsia="zh-CN" w:bidi="ar"/>
        </w:rPr>
        <w:t>月</w:t>
      </w:r>
      <w:r>
        <w:rPr>
          <w:rFonts w:hint="eastAsia" w:asciiTheme="minorEastAsia" w:hAnsiTheme="minorEastAsia" w:cstheme="minorEastAsia"/>
          <w:i w:val="0"/>
          <w:caps w:val="0"/>
          <w:color w:val="000000"/>
          <w:spacing w:val="10"/>
          <w:kern w:val="0"/>
          <w:sz w:val="24"/>
          <w:szCs w:val="24"/>
          <w:u w:val="none"/>
          <w:lang w:val="en-US" w:eastAsia="zh-CN" w:bidi="ar"/>
        </w:rPr>
        <w:t>10</w:t>
      </w:r>
      <w:r>
        <w:rPr>
          <w:rFonts w:hint="eastAsia" w:asciiTheme="minorEastAsia" w:hAnsiTheme="minorEastAsia" w:eastAsiaTheme="minorEastAsia" w:cstheme="minorEastAsia"/>
          <w:i w:val="0"/>
          <w:caps w:val="0"/>
          <w:color w:val="000000"/>
          <w:spacing w:val="10"/>
          <w:kern w:val="0"/>
          <w:sz w:val="24"/>
          <w:szCs w:val="24"/>
          <w:u w:val="none"/>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1F972E"/>
    <w:multiLevelType w:val="singleLevel"/>
    <w:tmpl w:val="601F972E"/>
    <w:lvl w:ilvl="0" w:tentative="0">
      <w:start w:val="1"/>
      <w:numFmt w:val="chineseCounting"/>
      <w:suff w:val="nothing"/>
      <w:lvlText w:val="%1、"/>
      <w:lvlJc w:val="left"/>
      <w:rPr>
        <w:rFonts w:hint="eastAsia"/>
        <w:sz w:val="28"/>
        <w:szCs w:val="28"/>
      </w:rPr>
    </w:lvl>
  </w:abstractNum>
  <w:abstractNum w:abstractNumId="1">
    <w:nsid w:val="6076974B"/>
    <w:multiLevelType w:val="singleLevel"/>
    <w:tmpl w:val="6076974B"/>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E0FD6"/>
    <w:rsid w:val="000D0AAC"/>
    <w:rsid w:val="039713C7"/>
    <w:rsid w:val="041A6B6C"/>
    <w:rsid w:val="05FD1662"/>
    <w:rsid w:val="0795267D"/>
    <w:rsid w:val="0A7705F9"/>
    <w:rsid w:val="0BF06DFB"/>
    <w:rsid w:val="0D4C72D1"/>
    <w:rsid w:val="0D770159"/>
    <w:rsid w:val="0DB42FED"/>
    <w:rsid w:val="0E0D315C"/>
    <w:rsid w:val="0E401CB6"/>
    <w:rsid w:val="105004CC"/>
    <w:rsid w:val="13EF3DB9"/>
    <w:rsid w:val="13FB2391"/>
    <w:rsid w:val="15CD7D54"/>
    <w:rsid w:val="16DD619A"/>
    <w:rsid w:val="16FE5738"/>
    <w:rsid w:val="18DB1BD5"/>
    <w:rsid w:val="198B64F6"/>
    <w:rsid w:val="19BC6CC5"/>
    <w:rsid w:val="19DB7861"/>
    <w:rsid w:val="1A4646AB"/>
    <w:rsid w:val="1B157B5C"/>
    <w:rsid w:val="1B492FD4"/>
    <w:rsid w:val="1E485D4E"/>
    <w:rsid w:val="21D811A5"/>
    <w:rsid w:val="2317411E"/>
    <w:rsid w:val="231C4C72"/>
    <w:rsid w:val="244007A3"/>
    <w:rsid w:val="25A57FCF"/>
    <w:rsid w:val="28BF5B7B"/>
    <w:rsid w:val="29032ED5"/>
    <w:rsid w:val="2A0D0F00"/>
    <w:rsid w:val="2B352FB3"/>
    <w:rsid w:val="2DC7345E"/>
    <w:rsid w:val="2DD2603B"/>
    <w:rsid w:val="2E634C7C"/>
    <w:rsid w:val="2FD87305"/>
    <w:rsid w:val="306B4458"/>
    <w:rsid w:val="313D6058"/>
    <w:rsid w:val="314D1E5E"/>
    <w:rsid w:val="328E2A77"/>
    <w:rsid w:val="337B5BED"/>
    <w:rsid w:val="362F3D70"/>
    <w:rsid w:val="37D2120B"/>
    <w:rsid w:val="38077679"/>
    <w:rsid w:val="38AD70DF"/>
    <w:rsid w:val="3928247F"/>
    <w:rsid w:val="3A7A7CE7"/>
    <w:rsid w:val="3BD72860"/>
    <w:rsid w:val="3D403607"/>
    <w:rsid w:val="40D677AE"/>
    <w:rsid w:val="40EE0FD6"/>
    <w:rsid w:val="417A2AE0"/>
    <w:rsid w:val="419B41BD"/>
    <w:rsid w:val="423365FD"/>
    <w:rsid w:val="43367252"/>
    <w:rsid w:val="4378218D"/>
    <w:rsid w:val="43F13246"/>
    <w:rsid w:val="44997E1B"/>
    <w:rsid w:val="44BF68B6"/>
    <w:rsid w:val="44C04B5B"/>
    <w:rsid w:val="45311869"/>
    <w:rsid w:val="45643FE4"/>
    <w:rsid w:val="459371BC"/>
    <w:rsid w:val="45D81DA4"/>
    <w:rsid w:val="468E6C55"/>
    <w:rsid w:val="49112825"/>
    <w:rsid w:val="4D711B1B"/>
    <w:rsid w:val="51513355"/>
    <w:rsid w:val="532A2681"/>
    <w:rsid w:val="53D64F5B"/>
    <w:rsid w:val="53F961D2"/>
    <w:rsid w:val="563C236E"/>
    <w:rsid w:val="56B60B9C"/>
    <w:rsid w:val="57EC7A71"/>
    <w:rsid w:val="5862192B"/>
    <w:rsid w:val="588010E6"/>
    <w:rsid w:val="590A3EC1"/>
    <w:rsid w:val="59874BEF"/>
    <w:rsid w:val="59910CA6"/>
    <w:rsid w:val="5AF4295F"/>
    <w:rsid w:val="5B854663"/>
    <w:rsid w:val="5DF12B8B"/>
    <w:rsid w:val="5E016FC7"/>
    <w:rsid w:val="5E7F5CB4"/>
    <w:rsid w:val="5EF13487"/>
    <w:rsid w:val="61A86483"/>
    <w:rsid w:val="61D456B0"/>
    <w:rsid w:val="69811C93"/>
    <w:rsid w:val="69FE213F"/>
    <w:rsid w:val="6A271505"/>
    <w:rsid w:val="6AB83208"/>
    <w:rsid w:val="6BA73AAA"/>
    <w:rsid w:val="6BB56062"/>
    <w:rsid w:val="6BC00DFE"/>
    <w:rsid w:val="6C3B6509"/>
    <w:rsid w:val="6E68282C"/>
    <w:rsid w:val="6EA90BA0"/>
    <w:rsid w:val="6EBE0D16"/>
    <w:rsid w:val="6FC17828"/>
    <w:rsid w:val="74F922D6"/>
    <w:rsid w:val="75825591"/>
    <w:rsid w:val="75984ABB"/>
    <w:rsid w:val="75E22B41"/>
    <w:rsid w:val="76D40541"/>
    <w:rsid w:val="76D60F0C"/>
    <w:rsid w:val="76F705B5"/>
    <w:rsid w:val="777A77FA"/>
    <w:rsid w:val="785653FF"/>
    <w:rsid w:val="7A211BEB"/>
    <w:rsid w:val="7A6A0BEA"/>
    <w:rsid w:val="7ACD24D9"/>
    <w:rsid w:val="7B6B347A"/>
    <w:rsid w:val="7BE67A85"/>
    <w:rsid w:val="7C5F2A5A"/>
    <w:rsid w:val="7E4A6E7B"/>
    <w:rsid w:val="7E7153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fontstyle01"/>
    <w:basedOn w:val="7"/>
    <w:qFormat/>
    <w:uiPriority w:val="0"/>
    <w:rPr>
      <w:rFonts w:ascii="仿宋" w:hAnsi="仿宋" w:eastAsia="仿宋" w:cs="仿宋"/>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678</Words>
  <Characters>1109</Characters>
  <Lines>0</Lines>
  <Paragraphs>0</Paragraphs>
  <TotalTime>46</TotalTime>
  <ScaleCrop>false</ScaleCrop>
  <LinksUpToDate>false</LinksUpToDate>
  <CharactersWithSpaces>1109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2021-02-07T07:18:00Z</dcterms:created>
  <dc:creator>LKM</dc:creator>
  <cp:lastModifiedBy>001011594</cp:lastModifiedBy>
  <dcterms:modified xsi:type="dcterms:W3CDTF">2026-07-13T07:47:33Z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E5BE3D5108CB4FABBFC6E764077A6E91_13</vt:lpwstr>
  </property>
</Properties>
</file>